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2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283"/>
        <w:gridCol w:w="2551"/>
        <w:gridCol w:w="3500"/>
      </w:tblGrid>
      <w:tr w:rsidR="00D22EE7" w14:paraId="6A48B5A7" w14:textId="77777777" w:rsidTr="004D6376">
        <w:trPr>
          <w:cantSplit/>
          <w:trHeight w:val="934"/>
        </w:trPr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0" w:name="_GoBack"/>
          <w:bookmarkEnd w:id="0"/>
          <w:p w14:paraId="7485F478" w14:textId="77777777" w:rsidR="00D22EE7" w:rsidRDefault="00D22EE7" w:rsidP="005273BA">
            <w:pPr>
              <w:jc w:val="center"/>
              <w:rPr>
                <w:rFonts w:ascii="Trebuchet MS" w:eastAsia="Arial Unicode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Arial Unicode MS" w:hAnsi="Trebuchet MS" w:cs="Arial"/>
                <w:b/>
                <w:bCs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C28D1" wp14:editId="3326A42E">
                      <wp:simplePos x="0" y="0"/>
                      <wp:positionH relativeFrom="margin">
                        <wp:posOffset>1858645</wp:posOffset>
                      </wp:positionH>
                      <wp:positionV relativeFrom="paragraph">
                        <wp:posOffset>-23495</wp:posOffset>
                      </wp:positionV>
                      <wp:extent cx="3571875" cy="904875"/>
                      <wp:effectExtent l="0" t="0" r="0" b="9525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45AED3" w14:textId="77777777" w:rsidR="0060073C" w:rsidRDefault="0060073C" w:rsidP="0060073C">
                                  <w:pPr>
                                    <w:pStyle w:val="Titre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Fiche </w:t>
                                  </w:r>
                                  <w:r w:rsidR="00297C2E">
                                    <w:rPr>
                                      <w:i/>
                                    </w:rPr>
                                    <w:t>Poste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 : </w:t>
                                  </w:r>
                                </w:p>
                                <w:p w14:paraId="5350B921" w14:textId="77777777" w:rsidR="0060073C" w:rsidRDefault="00D22EE7" w:rsidP="0060073C">
                                  <w:pPr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  <w:t>Pharmacien praticien hospitalier</w:t>
                                  </w:r>
                                </w:p>
                                <w:p w14:paraId="5ADB1728" w14:textId="77777777" w:rsidR="00D22EE7" w:rsidRDefault="0060073C" w:rsidP="0060073C">
                                  <w:pPr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  <w:t xml:space="preserve">Pharmacie à usage intérieur GCS Pharmacoopé </w:t>
                                  </w:r>
                                  <w:r w:rsidR="00D22EE7"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2143027" w14:textId="77777777" w:rsidR="0060073C" w:rsidRDefault="0060073C" w:rsidP="0060073C">
                                  <w:pPr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  <w:t>Site de Thuir</w:t>
                                  </w:r>
                                  <w:r w:rsidR="00D22EE7">
                                    <w:rPr>
                                      <w:rFonts w:ascii="Trebuchet MS" w:hAnsi="Trebuchet MS"/>
                                      <w:b/>
                                      <w:szCs w:val="22"/>
                                    </w:rPr>
                                    <w:t xml:space="preserve"> / Site Banyuls</w:t>
                                  </w:r>
                                </w:p>
                                <w:p w14:paraId="7B87FABE" w14:textId="77777777" w:rsidR="0060073C" w:rsidRDefault="0060073C" w:rsidP="0060073C">
                                  <w:pPr>
                                    <w:pStyle w:val="Titre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146.35pt;margin-top:-1.85pt;width:28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" filled="f" stroked="f">
                      <v:textbox>
                        <w:txbxContent>
                          <w:p w:rsidR="0060073C" w:rsidRDefault="0060073C" w:rsidP="0060073C">
                            <w:pPr>
                              <w:pStyle w:val="Titre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Fiche </w:t>
                            </w:r>
                            <w:r w:rsidR="00297C2E">
                              <w:rPr>
                                <w:i/>
                              </w:rPr>
                              <w:t>Poste</w:t>
                            </w:r>
                            <w:r>
                              <w:rPr>
                                <w:i/>
                              </w:rPr>
                              <w:t xml:space="preserve"> : </w:t>
                            </w:r>
                          </w:p>
                          <w:p w:rsidR="0060073C" w:rsidRDefault="00D22EE7" w:rsidP="0060073C">
                            <w:pPr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>Pharmacien praticien hospitalier</w:t>
                            </w:r>
                          </w:p>
                          <w:p w:rsidR="00D22EE7" w:rsidRDefault="0060073C" w:rsidP="0060073C">
                            <w:pPr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 xml:space="preserve">Pharmacie à usage intérieur GCS Pharmacoopé </w:t>
                            </w:r>
                            <w:r w:rsidR="00D22EE7"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60073C" w:rsidRDefault="0060073C" w:rsidP="0060073C">
                            <w:pPr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>Site de Thuir</w:t>
                            </w:r>
                            <w:r w:rsidR="00D22EE7"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 xml:space="preserve"> / Site Banyuls</w:t>
                            </w:r>
                          </w:p>
                          <w:p w:rsidR="0060073C" w:rsidRDefault="0060073C" w:rsidP="0060073C">
                            <w:pPr>
                              <w:pStyle w:val="Titre1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7552C6" wp14:editId="6BF55C81">
                      <wp:simplePos x="0" y="0"/>
                      <wp:positionH relativeFrom="column">
                        <wp:posOffset>-2052955</wp:posOffset>
                      </wp:positionH>
                      <wp:positionV relativeFrom="paragraph">
                        <wp:posOffset>-10160</wp:posOffset>
                      </wp:positionV>
                      <wp:extent cx="1943100" cy="809625"/>
                      <wp:effectExtent l="0" t="0" r="0" b="952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2FFBE4" w14:textId="77777777" w:rsidR="00D22EE7" w:rsidRDefault="00D22EE7" w:rsidP="0060073C">
                                  <w:pPr>
                                    <w:jc w:val="center"/>
                                    <w:rPr>
                                      <w:rFonts w:ascii="Trebuchet MS" w:eastAsia="Arial Unicode MS" w:hAnsi="Trebuchet MS" w:cs="Arial"/>
                                      <w:b/>
                                      <w:bCs/>
                                    </w:rPr>
                                  </w:pPr>
                                  <w:r w:rsidRPr="004A77C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00965D" wp14:editId="39953831">
                                        <wp:extent cx="1389661" cy="695325"/>
                                        <wp:effectExtent l="0" t="0" r="1270" b="0"/>
                                        <wp:docPr id="9" name="Image 1" descr="gcs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gc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9444" cy="7102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FD55FF" id="Zone de texte 2" o:spid="_x0000_s1027" type="#_x0000_t202" style="position:absolute;left:0;text-align:left;margin-left:-161.65pt;margin-top:-.8pt;width:153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" stroked="f">
                      <v:textbox>
                        <w:txbxContent>
                          <w:p w:rsidR="00D22EE7" w:rsidRDefault="00D22EE7" w:rsidP="0060073C">
                            <w:pPr>
                              <w:jc w:val="center"/>
                              <w:rPr>
                                <w:rFonts w:ascii="Trebuchet MS" w:eastAsia="Arial Unicode MS" w:hAnsi="Trebuchet MS" w:cs="Arial"/>
                                <w:b/>
                                <w:bCs/>
                              </w:rPr>
                            </w:pPr>
                            <w:r w:rsidRPr="004A77CA">
                              <w:rPr>
                                <w:noProof/>
                              </w:rPr>
                              <w:drawing>
                                <wp:inline distT="0" distB="0" distL="0" distR="0" wp14:anchorId="127CFCBA" wp14:editId="5FF81527">
                                  <wp:extent cx="1389661" cy="695325"/>
                                  <wp:effectExtent l="0" t="0" r="1270" b="0"/>
                                  <wp:docPr id="9" name="Image 1" descr="gcs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gc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444" cy="710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00905C" w14:textId="77777777" w:rsidR="00D22EE7" w:rsidRDefault="00D22EE7" w:rsidP="005273B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7AAF017E" w14:textId="77777777" w:rsidR="00D22EE7" w:rsidRDefault="00D22EE7" w:rsidP="005273BA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  <w:u w:val="single"/>
              </w:rPr>
            </w:pPr>
          </w:p>
          <w:p w14:paraId="26D94A71" w14:textId="77777777" w:rsidR="00D22EE7" w:rsidRDefault="00D22EE7" w:rsidP="005273BA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  <w:u w:val="single"/>
              </w:rPr>
            </w:pPr>
          </w:p>
          <w:p w14:paraId="79099AB4" w14:textId="77777777" w:rsidR="00D22EE7" w:rsidRDefault="00D22EE7" w:rsidP="005273BA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  <w:u w:val="single"/>
              </w:rPr>
            </w:pPr>
          </w:p>
          <w:p w14:paraId="0080DA70" w14:textId="77777777" w:rsidR="00D22EE7" w:rsidRDefault="00D22EE7" w:rsidP="005273BA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  <w:u w:val="single"/>
              </w:rPr>
            </w:pPr>
          </w:p>
        </w:tc>
      </w:tr>
      <w:tr w:rsidR="00D22EE7" w14:paraId="6CE6E629" w14:textId="77777777" w:rsidTr="005D31B2">
        <w:trPr>
          <w:trHeight w:val="26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C601" w14:textId="77777777" w:rsidR="00D22EE7" w:rsidRDefault="00D22EE7" w:rsidP="00D22EE7">
            <w:pPr>
              <w:rPr>
                <w:rFonts w:ascii="Trebuchet MS" w:eastAsia="Arial Unicode MS" w:hAnsi="Trebuchet MS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1B661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Rédaction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E92EB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Validation</w:t>
            </w:r>
          </w:p>
        </w:tc>
      </w:tr>
      <w:tr w:rsidR="00D22EE7" w14:paraId="4745AC94" w14:textId="77777777" w:rsidTr="00D22EE7">
        <w:trPr>
          <w:trHeight w:val="26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93DA" w14:textId="77777777" w:rsidR="00D22EE7" w:rsidRDefault="00D22EE7" w:rsidP="00D22EE7">
            <w:pPr>
              <w:rPr>
                <w:rFonts w:ascii="Trebuchet MS" w:eastAsia="Arial Unicode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D04C2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eastAsia="Arial Unicode MS" w:hAnsi="Trebuchet MS" w:cs="Arial"/>
                <w:sz w:val="18"/>
                <w:szCs w:val="18"/>
              </w:rPr>
              <w:t>Sonia BEDJIDIAN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C7C56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Bernard CAZELLES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AE4BA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Sylvie COLOMES</w:t>
            </w:r>
          </w:p>
        </w:tc>
      </w:tr>
      <w:tr w:rsidR="00D22EE7" w14:paraId="2355EE30" w14:textId="77777777" w:rsidTr="00D22EE7">
        <w:trPr>
          <w:trHeight w:val="262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A9117" w14:textId="77777777" w:rsidR="00D22EE7" w:rsidRDefault="00D22EE7" w:rsidP="00D22EE7">
            <w:pPr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Fonction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D0BB3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Pharmacienne responsable de service site de Thuir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6C4E4" w14:textId="77777777" w:rsidR="00D22EE7" w:rsidRDefault="00D22EE7" w:rsidP="00D22EE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Pharmacien responsable </w:t>
            </w:r>
          </w:p>
          <w:p w14:paraId="4E4C4A20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de service site de Banyuls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48BA9" w14:textId="77777777" w:rsidR="00D22EE7" w:rsidRDefault="00D22EE7" w:rsidP="00D22EE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Pharmacienne gérante </w:t>
            </w:r>
          </w:p>
          <w:p w14:paraId="122EAAAA" w14:textId="77777777" w:rsidR="00D22EE7" w:rsidRDefault="00D22EE7" w:rsidP="00D22EE7">
            <w:pPr>
              <w:jc w:val="center"/>
              <w:rPr>
                <w:rFonts w:ascii="Trebuchet MS" w:eastAsia="Arial Unicode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PUI GCS Pharmacoopé</w:t>
            </w:r>
          </w:p>
        </w:tc>
      </w:tr>
    </w:tbl>
    <w:p w14:paraId="329F6448" w14:textId="77777777" w:rsidR="0060073C" w:rsidRPr="00383222" w:rsidRDefault="0060073C">
      <w:pPr>
        <w:rPr>
          <w:rFonts w:asciiTheme="minorHAnsi" w:hAnsiTheme="minorHAnsi" w:cstheme="minorHAnsi"/>
          <w:sz w:val="10"/>
          <w:szCs w:val="10"/>
        </w:rPr>
      </w:pPr>
    </w:p>
    <w:p w14:paraId="27D6E484" w14:textId="77777777" w:rsidR="0060073C" w:rsidRPr="00927D33" w:rsidRDefault="0060073C" w:rsidP="0060073C">
      <w:pPr>
        <w:rPr>
          <w:rFonts w:asciiTheme="minorHAnsi" w:hAnsiTheme="minorHAnsi" w:cstheme="minorHAnsi"/>
        </w:rPr>
      </w:pPr>
      <w:r w:rsidRPr="00927D33">
        <w:rPr>
          <w:rFonts w:asciiTheme="minorHAnsi" w:hAnsiTheme="minorHAnsi" w:cstheme="minorHAnsi"/>
          <w:b/>
          <w:bCs/>
        </w:rPr>
        <w:t xml:space="preserve">1°DENOMINATION </w:t>
      </w:r>
      <w:r w:rsidR="00297C2E">
        <w:rPr>
          <w:rFonts w:asciiTheme="minorHAnsi" w:hAnsiTheme="minorHAnsi" w:cstheme="minorHAnsi"/>
          <w:b/>
          <w:bCs/>
        </w:rPr>
        <w:t xml:space="preserve">DU POSTE </w:t>
      </w:r>
      <w:r w:rsidR="00297C2E" w:rsidRPr="00927D33">
        <w:rPr>
          <w:rFonts w:asciiTheme="minorHAnsi" w:hAnsiTheme="minorHAnsi" w:cstheme="minorHAnsi"/>
          <w:b/>
          <w:bCs/>
        </w:rPr>
        <w:t>:</w:t>
      </w:r>
      <w:r w:rsidRPr="00927D33">
        <w:rPr>
          <w:rFonts w:asciiTheme="minorHAnsi" w:hAnsiTheme="minorHAnsi" w:cstheme="minorHAnsi"/>
          <w:b/>
          <w:bCs/>
        </w:rPr>
        <w:t xml:space="preserve"> </w:t>
      </w:r>
    </w:p>
    <w:p w14:paraId="7A0964EE" w14:textId="77777777" w:rsidR="0060073C" w:rsidRPr="00D868CC" w:rsidRDefault="0060073C" w:rsidP="0060073C">
      <w:pPr>
        <w:rPr>
          <w:rFonts w:asciiTheme="minorHAnsi" w:hAnsiTheme="minorHAnsi" w:cstheme="minorHAnsi"/>
          <w:sz w:val="10"/>
          <w:szCs w:val="10"/>
        </w:rPr>
      </w:pPr>
    </w:p>
    <w:p w14:paraId="5571FB84" w14:textId="61A0D2B7" w:rsidR="00927D33" w:rsidRPr="00927D33" w:rsidRDefault="00546FD5" w:rsidP="00D868CC">
      <w:pPr>
        <w:tabs>
          <w:tab w:val="left" w:pos="7650"/>
        </w:tabs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Pharmacien </w:t>
      </w:r>
      <w:r w:rsidR="00D22EE7">
        <w:rPr>
          <w:rFonts w:asciiTheme="minorHAnsi" w:hAnsiTheme="minorHAnsi" w:cstheme="minorHAnsi"/>
        </w:rPr>
        <w:t xml:space="preserve">praticien </w:t>
      </w:r>
      <w:r>
        <w:rPr>
          <w:rFonts w:asciiTheme="minorHAnsi" w:hAnsiTheme="minorHAnsi" w:cstheme="minorHAnsi"/>
        </w:rPr>
        <w:t xml:space="preserve">hospitalier </w:t>
      </w:r>
      <w:r w:rsidR="00D22EE7">
        <w:rPr>
          <w:rFonts w:asciiTheme="minorHAnsi" w:hAnsiTheme="minorHAnsi" w:cstheme="minorHAnsi"/>
        </w:rPr>
        <w:t xml:space="preserve">en temps partagé sur les deux unités fonctionnelles </w:t>
      </w:r>
      <w:r w:rsidR="0060073C" w:rsidRPr="00927D33">
        <w:rPr>
          <w:rFonts w:asciiTheme="minorHAnsi" w:hAnsiTheme="minorHAnsi" w:cstheme="minorHAnsi"/>
        </w:rPr>
        <w:t xml:space="preserve">« site de Thuir » </w:t>
      </w:r>
      <w:r w:rsidR="00D22EE7">
        <w:rPr>
          <w:rFonts w:asciiTheme="minorHAnsi" w:hAnsiTheme="minorHAnsi" w:cstheme="minorHAnsi"/>
        </w:rPr>
        <w:t xml:space="preserve">et « site de Banyuls » </w:t>
      </w:r>
      <w:r w:rsidR="0060073C" w:rsidRPr="00927D33">
        <w:rPr>
          <w:rFonts w:asciiTheme="minorHAnsi" w:hAnsiTheme="minorHAnsi" w:cstheme="minorHAnsi"/>
        </w:rPr>
        <w:t xml:space="preserve">de la pharmacie à usage intérieur </w:t>
      </w:r>
      <w:r w:rsidR="004639EF">
        <w:rPr>
          <w:rFonts w:asciiTheme="minorHAnsi" w:hAnsiTheme="minorHAnsi" w:cstheme="minorHAnsi"/>
        </w:rPr>
        <w:t xml:space="preserve">(PUI) </w:t>
      </w:r>
      <w:r w:rsidR="0060073C" w:rsidRPr="00927D33">
        <w:rPr>
          <w:rFonts w:asciiTheme="minorHAnsi" w:hAnsiTheme="minorHAnsi" w:cstheme="minorHAnsi"/>
        </w:rPr>
        <w:t>du GCS Pharmacoopé</w:t>
      </w:r>
      <w:r w:rsidR="00CC50B2">
        <w:rPr>
          <w:rFonts w:asciiTheme="minorHAnsi" w:hAnsiTheme="minorHAnsi" w:cstheme="minorHAnsi"/>
        </w:rPr>
        <w:t>.</w:t>
      </w:r>
      <w:r w:rsidR="00D16459">
        <w:rPr>
          <w:rFonts w:asciiTheme="minorHAnsi" w:hAnsiTheme="minorHAnsi" w:cstheme="minorHAnsi"/>
        </w:rPr>
        <w:t xml:space="preserve"> </w:t>
      </w:r>
    </w:p>
    <w:p w14:paraId="10CAD6F1" w14:textId="77777777" w:rsidR="0060073C" w:rsidRPr="00D22EE7" w:rsidRDefault="0060073C" w:rsidP="00927D33">
      <w:pPr>
        <w:tabs>
          <w:tab w:val="left" w:pos="7650"/>
        </w:tabs>
        <w:rPr>
          <w:rFonts w:asciiTheme="minorHAnsi" w:hAnsiTheme="minorHAnsi" w:cstheme="minorHAnsi"/>
          <w:sz w:val="10"/>
          <w:szCs w:val="10"/>
        </w:rPr>
      </w:pPr>
    </w:p>
    <w:p w14:paraId="06ABC079" w14:textId="2E0C898D" w:rsidR="0088301B" w:rsidRPr="0088301B" w:rsidRDefault="004639EF" w:rsidP="0001597F">
      <w:pPr>
        <w:pStyle w:val="Sansinterligne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PUI Site de Thuir : située au Centre Hospitalier Léon Jean Gregory, Thuir </w:t>
      </w:r>
    </w:p>
    <w:p w14:paraId="3F866891" w14:textId="4DD229C7" w:rsidR="004639EF" w:rsidRDefault="004639EF" w:rsidP="0001597F">
      <w:pPr>
        <w:pStyle w:val="Sansinterligne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PUI Site de Banyuls : située à l’EHPAD Paul Reig, Banyuls sur Mer</w:t>
      </w:r>
      <w:r w:rsidR="009263B0">
        <w:rPr>
          <w:rFonts w:asciiTheme="minorHAnsi" w:hAnsiTheme="minorHAnsi" w:cstheme="minorHAnsi"/>
          <w:szCs w:val="24"/>
        </w:rPr>
        <w:t xml:space="preserve"> </w:t>
      </w:r>
    </w:p>
    <w:p w14:paraId="0078B17F" w14:textId="0E1CCDDB" w:rsidR="00397C43" w:rsidRDefault="009263B0" w:rsidP="009263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Présentiel</w:t>
      </w:r>
      <w:r w:rsidRPr="009263B0">
        <w:rPr>
          <w:rFonts w:asciiTheme="minorHAnsi" w:hAnsiTheme="minorHAnsi" w:cstheme="minorHAnsi"/>
          <w:u w:val="single"/>
        </w:rPr>
        <w:t xml:space="preserve"> </w:t>
      </w:r>
      <w:r w:rsidRPr="009263B0">
        <w:rPr>
          <w:rFonts w:asciiTheme="minorHAnsi" w:hAnsiTheme="minorHAnsi" w:cstheme="minorHAnsi"/>
          <w:i/>
          <w:u w:val="single"/>
        </w:rPr>
        <w:t>a minima</w:t>
      </w:r>
      <w:r>
        <w:rPr>
          <w:rFonts w:asciiTheme="minorHAnsi" w:hAnsiTheme="minorHAnsi" w:cstheme="minorHAnsi"/>
          <w:u w:val="single"/>
        </w:rPr>
        <w:t xml:space="preserve"> d’une </w:t>
      </w:r>
      <w:r w:rsidRPr="009263B0">
        <w:rPr>
          <w:rFonts w:asciiTheme="minorHAnsi" w:hAnsiTheme="minorHAnsi" w:cstheme="minorHAnsi"/>
          <w:u w:val="single"/>
        </w:rPr>
        <w:t>journée/semaine</w:t>
      </w:r>
      <w:r w:rsidRPr="009263B0">
        <w:rPr>
          <w:rFonts w:asciiTheme="minorHAnsi" w:hAnsiTheme="minorHAnsi" w:cstheme="minorHAnsi"/>
        </w:rPr>
        <w:t xml:space="preserve"> sur le site de Banyuls</w:t>
      </w:r>
      <w:r>
        <w:rPr>
          <w:rFonts w:asciiTheme="minorHAnsi" w:hAnsiTheme="minorHAnsi" w:cstheme="minorHAnsi"/>
        </w:rPr>
        <w:t> : liaison opérationnelle entre les deux sites de la PUI</w:t>
      </w:r>
      <w:r w:rsidRPr="009263B0">
        <w:rPr>
          <w:rFonts w:asciiTheme="minorHAnsi" w:hAnsiTheme="minorHAnsi" w:cstheme="minorHAnsi"/>
        </w:rPr>
        <w:t xml:space="preserve"> (hors nécessité d’une présence plus importante requise </w:t>
      </w:r>
      <w:r>
        <w:rPr>
          <w:rFonts w:asciiTheme="minorHAnsi" w:hAnsiTheme="minorHAnsi" w:cstheme="minorHAnsi"/>
        </w:rPr>
        <w:t xml:space="preserve">en cas de </w:t>
      </w:r>
      <w:r w:rsidRPr="009263B0">
        <w:rPr>
          <w:rFonts w:asciiTheme="minorHAnsi" w:hAnsiTheme="minorHAnsi" w:cstheme="minorHAnsi"/>
        </w:rPr>
        <w:t>missions spécifiques)</w:t>
      </w:r>
      <w:r>
        <w:rPr>
          <w:rFonts w:asciiTheme="minorHAnsi" w:hAnsiTheme="minorHAnsi" w:cstheme="minorHAnsi"/>
        </w:rPr>
        <w:t> ; certaines missions dédiées aux sites de Banyuls et de Thuir pouvant être effectuées à distance indifféremment des deux sites.</w:t>
      </w:r>
    </w:p>
    <w:p w14:paraId="16238B76" w14:textId="252EC3DD" w:rsidR="009263B0" w:rsidRPr="00397C43" w:rsidRDefault="00397C43" w:rsidP="009263B0">
      <w:pPr>
        <w:jc w:val="both"/>
        <w:rPr>
          <w:rFonts w:asciiTheme="minorHAnsi" w:hAnsiTheme="minorHAnsi" w:cstheme="minorHAnsi"/>
          <w:u w:val="single"/>
        </w:rPr>
      </w:pPr>
      <w:r w:rsidRPr="00397C43">
        <w:rPr>
          <w:rFonts w:asciiTheme="minorHAnsi" w:hAnsiTheme="minorHAnsi" w:cstheme="minorHAnsi"/>
          <w:u w:val="single"/>
        </w:rPr>
        <w:t>Remplacement sur le site de Banyuls</w:t>
      </w:r>
      <w:r>
        <w:rPr>
          <w:rFonts w:asciiTheme="minorHAnsi" w:hAnsiTheme="minorHAnsi" w:cstheme="minorHAnsi"/>
          <w:u w:val="single"/>
        </w:rPr>
        <w:t xml:space="preserve"> </w:t>
      </w:r>
      <w:r w:rsidRPr="00397C43">
        <w:rPr>
          <w:rFonts w:asciiTheme="minorHAnsi" w:hAnsiTheme="minorHAnsi" w:cstheme="minorHAnsi"/>
          <w:u w:val="single"/>
        </w:rPr>
        <w:t xml:space="preserve">en l’absence du pharmacien responsable </w:t>
      </w:r>
      <w:r>
        <w:rPr>
          <w:rFonts w:asciiTheme="minorHAnsi" w:hAnsiTheme="minorHAnsi" w:cstheme="minorHAnsi"/>
          <w:u w:val="single"/>
        </w:rPr>
        <w:t>(congés/formations)</w:t>
      </w:r>
    </w:p>
    <w:p w14:paraId="22B90DEE" w14:textId="77777777" w:rsidR="004639EF" w:rsidRPr="00383222" w:rsidRDefault="004639EF" w:rsidP="0001597F">
      <w:pPr>
        <w:pStyle w:val="Sansinterligne"/>
        <w:jc w:val="both"/>
        <w:rPr>
          <w:rFonts w:asciiTheme="minorHAnsi" w:hAnsiTheme="minorHAnsi" w:cstheme="minorHAnsi"/>
          <w:sz w:val="6"/>
          <w:szCs w:val="6"/>
        </w:rPr>
      </w:pPr>
    </w:p>
    <w:p w14:paraId="50A482D0" w14:textId="2495D27F" w:rsidR="0001597F" w:rsidRDefault="0001597F" w:rsidP="0001597F">
      <w:pPr>
        <w:pStyle w:val="Sansinterligne"/>
        <w:jc w:val="both"/>
        <w:rPr>
          <w:rFonts w:asciiTheme="minorHAnsi" w:hAnsiTheme="minorHAnsi" w:cstheme="minorHAnsi"/>
          <w:szCs w:val="24"/>
        </w:rPr>
      </w:pPr>
      <w:r w:rsidRPr="0001597F">
        <w:rPr>
          <w:rFonts w:asciiTheme="minorHAnsi" w:hAnsiTheme="minorHAnsi" w:cstheme="minorHAnsi"/>
          <w:szCs w:val="24"/>
        </w:rPr>
        <w:t>Diplôme requis</w:t>
      </w:r>
      <w:r>
        <w:rPr>
          <w:rFonts w:asciiTheme="minorHAnsi" w:hAnsiTheme="minorHAnsi" w:cstheme="minorHAnsi"/>
          <w:szCs w:val="24"/>
        </w:rPr>
        <w:t xml:space="preserve"> </w:t>
      </w:r>
      <w:r w:rsidRPr="0001597F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DES de Pharmacie</w:t>
      </w:r>
    </w:p>
    <w:p w14:paraId="07D438C5" w14:textId="77777777" w:rsidR="004639EF" w:rsidRPr="00383222" w:rsidRDefault="004639EF" w:rsidP="0001597F">
      <w:pPr>
        <w:pStyle w:val="Sansinterligne"/>
        <w:jc w:val="both"/>
        <w:rPr>
          <w:rFonts w:asciiTheme="minorHAnsi" w:hAnsiTheme="minorHAnsi" w:cstheme="minorHAnsi"/>
          <w:sz w:val="6"/>
          <w:szCs w:val="6"/>
        </w:rPr>
      </w:pPr>
    </w:p>
    <w:p w14:paraId="523B464B" w14:textId="0DDAC61F" w:rsidR="0001597F" w:rsidRDefault="0001597F" w:rsidP="0001597F">
      <w:pPr>
        <w:pStyle w:val="Sansinterligne"/>
        <w:jc w:val="both"/>
        <w:rPr>
          <w:rFonts w:asciiTheme="minorHAnsi" w:hAnsiTheme="minorHAnsi" w:cstheme="minorHAnsi"/>
          <w:szCs w:val="24"/>
        </w:rPr>
      </w:pPr>
      <w:r w:rsidRPr="0001597F">
        <w:rPr>
          <w:rFonts w:asciiTheme="minorHAnsi" w:hAnsiTheme="minorHAnsi" w:cstheme="minorHAnsi"/>
          <w:szCs w:val="24"/>
        </w:rPr>
        <w:t>Compétence</w:t>
      </w:r>
      <w:r w:rsidR="00D22EE7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</w:t>
      </w:r>
      <w:r w:rsidRPr="00620925">
        <w:rPr>
          <w:rFonts w:asciiTheme="minorHAnsi" w:hAnsiTheme="minorHAnsi" w:cstheme="minorHAnsi"/>
          <w:szCs w:val="24"/>
        </w:rPr>
        <w:t>complémentaire</w:t>
      </w:r>
      <w:r w:rsidR="00BB7476" w:rsidRPr="00620925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</w:t>
      </w:r>
      <w:r w:rsidR="00D22EE7">
        <w:rPr>
          <w:rFonts w:asciiTheme="minorHAnsi" w:hAnsiTheme="minorHAnsi" w:cstheme="minorHAnsi"/>
          <w:szCs w:val="24"/>
        </w:rPr>
        <w:t>s</w:t>
      </w:r>
      <w:r w:rsidRPr="0001597F">
        <w:rPr>
          <w:rFonts w:asciiTheme="minorHAnsi" w:hAnsiTheme="minorHAnsi" w:cstheme="minorHAnsi"/>
          <w:szCs w:val="24"/>
        </w:rPr>
        <w:t>ouhaitée</w:t>
      </w:r>
      <w:r w:rsidR="00D22EE7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</w:t>
      </w:r>
      <w:r w:rsidRPr="0001597F">
        <w:rPr>
          <w:rFonts w:asciiTheme="minorHAnsi" w:hAnsiTheme="minorHAnsi" w:cstheme="minorHAnsi"/>
          <w:szCs w:val="24"/>
        </w:rPr>
        <w:t>:</w:t>
      </w:r>
      <w:r w:rsidR="00D22EE7">
        <w:rPr>
          <w:rFonts w:asciiTheme="minorHAnsi" w:hAnsiTheme="minorHAnsi" w:cstheme="minorHAnsi"/>
          <w:szCs w:val="24"/>
        </w:rPr>
        <w:t xml:space="preserve"> </w:t>
      </w:r>
      <w:r w:rsidR="00383222">
        <w:rPr>
          <w:rFonts w:asciiTheme="minorHAnsi" w:hAnsiTheme="minorHAnsi" w:cstheme="minorHAnsi"/>
          <w:szCs w:val="24"/>
        </w:rPr>
        <w:t>Appétence (voire expérience) pour Automatisation/Informatisation du Circuit du médicament, champs de la Santé Mentale et Gestion Qualité. F</w:t>
      </w:r>
      <w:r w:rsidR="00383222" w:rsidRPr="0001597F">
        <w:rPr>
          <w:rFonts w:asciiTheme="minorHAnsi" w:hAnsiTheme="minorHAnsi" w:cstheme="minorHAnsi"/>
          <w:szCs w:val="24"/>
        </w:rPr>
        <w:t>ormation</w:t>
      </w:r>
      <w:r w:rsidR="00383222">
        <w:rPr>
          <w:rFonts w:asciiTheme="minorHAnsi" w:hAnsiTheme="minorHAnsi" w:cstheme="minorHAnsi"/>
          <w:szCs w:val="24"/>
        </w:rPr>
        <w:t xml:space="preserve"> (DU ou module de 40h en ETP) ou expérience en</w:t>
      </w:r>
      <w:r w:rsidR="00383222" w:rsidRPr="0001597F">
        <w:rPr>
          <w:rFonts w:asciiTheme="minorHAnsi" w:hAnsiTheme="minorHAnsi" w:cstheme="minorHAnsi"/>
          <w:szCs w:val="24"/>
        </w:rPr>
        <w:t xml:space="preserve"> Education Thérapeutique</w:t>
      </w:r>
      <w:r w:rsidR="00383222">
        <w:rPr>
          <w:rFonts w:asciiTheme="minorHAnsi" w:hAnsiTheme="minorHAnsi" w:cstheme="minorHAnsi"/>
          <w:szCs w:val="24"/>
        </w:rPr>
        <w:t xml:space="preserve"> du Patient. </w:t>
      </w:r>
    </w:p>
    <w:p w14:paraId="47049831" w14:textId="77777777" w:rsidR="00927D33" w:rsidRDefault="00927D33" w:rsidP="0060073C">
      <w:pPr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164F6DB0" w14:textId="77777777" w:rsidR="0001597F" w:rsidRPr="00D868CC" w:rsidRDefault="0001597F" w:rsidP="0001597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Pr="00D868CC">
        <w:rPr>
          <w:rFonts w:asciiTheme="minorHAnsi" w:hAnsiTheme="minorHAnsi" w:cstheme="minorHAnsi"/>
          <w:b/>
          <w:bCs/>
        </w:rPr>
        <w:t xml:space="preserve">° </w:t>
      </w:r>
      <w:r>
        <w:rPr>
          <w:rFonts w:asciiTheme="minorHAnsi" w:hAnsiTheme="minorHAnsi" w:cstheme="minorHAnsi"/>
          <w:b/>
          <w:bCs/>
        </w:rPr>
        <w:t>CONTEXTE</w:t>
      </w:r>
      <w:r w:rsidRPr="00D868CC">
        <w:rPr>
          <w:rFonts w:asciiTheme="minorHAnsi" w:hAnsiTheme="minorHAnsi" w:cstheme="minorHAnsi"/>
          <w:b/>
          <w:bCs/>
        </w:rPr>
        <w:t xml:space="preserve"> : </w:t>
      </w:r>
    </w:p>
    <w:p w14:paraId="002FC345" w14:textId="77777777" w:rsidR="00D22EE7" w:rsidRPr="00D22EE7" w:rsidRDefault="00D22EE7" w:rsidP="0001597F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4362E8BC" w14:textId="77777777" w:rsidR="0001597F" w:rsidRDefault="0001597F" w:rsidP="0001597F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01597F">
        <w:rPr>
          <w:rFonts w:asciiTheme="minorHAnsi" w:hAnsiTheme="minorHAnsi" w:cstheme="minorHAnsi"/>
          <w:bCs/>
        </w:rPr>
        <w:t xml:space="preserve">Le GCS Pharmacoopé est un groupement œuvrant dans le champ sanitaire (PSY, USLD) et médico-social (EHPAD, MAS, FAM) </w:t>
      </w:r>
      <w:r>
        <w:rPr>
          <w:rFonts w:asciiTheme="minorHAnsi" w:hAnsiTheme="minorHAnsi" w:cstheme="minorHAnsi"/>
          <w:bCs/>
        </w:rPr>
        <w:t>qui</w:t>
      </w:r>
      <w:r w:rsidRPr="0001597F">
        <w:rPr>
          <w:rFonts w:asciiTheme="minorHAnsi" w:hAnsiTheme="minorHAnsi" w:cstheme="minorHAnsi"/>
          <w:bCs/>
        </w:rPr>
        <w:t xml:space="preserve"> rassemble 18 structures (1565 lits et places) dans le département des Pyrénées orientales (66). La PUI du GCS comporte 2 si</w:t>
      </w:r>
      <w:r>
        <w:rPr>
          <w:rFonts w:asciiTheme="minorHAnsi" w:hAnsiTheme="minorHAnsi" w:cstheme="minorHAnsi"/>
          <w:bCs/>
        </w:rPr>
        <w:t>tes à Thuir et Banyuls-sur-Mer.</w:t>
      </w:r>
    </w:p>
    <w:p w14:paraId="448756C1" w14:textId="77777777" w:rsidR="0001597F" w:rsidRDefault="0001597F" w:rsidP="0001597F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C21CEA">
        <w:rPr>
          <w:rFonts w:asciiTheme="minorHAnsi" w:hAnsiTheme="minorHAnsi" w:cstheme="minorHAnsi"/>
          <w:bCs/>
          <w:u w:val="single"/>
        </w:rPr>
        <w:t>Effectifs du site de Thuir</w:t>
      </w:r>
      <w:r>
        <w:rPr>
          <w:rFonts w:asciiTheme="minorHAnsi" w:hAnsiTheme="minorHAnsi" w:cstheme="minorHAnsi"/>
          <w:bCs/>
        </w:rPr>
        <w:t xml:space="preserve"> :</w:t>
      </w:r>
    </w:p>
    <w:p w14:paraId="171805E7" w14:textId="77777777" w:rsidR="0001597F" w:rsidRPr="00D22EE7" w:rsidRDefault="0001597F" w:rsidP="00F13594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D22EE7">
        <w:rPr>
          <w:rFonts w:asciiTheme="minorHAnsi" w:hAnsiTheme="minorHAnsi" w:cstheme="minorHAnsi"/>
          <w:bCs/>
        </w:rPr>
        <w:t xml:space="preserve">4 pharmaciens PH </w:t>
      </w:r>
      <w:r w:rsidR="00D22EE7">
        <w:rPr>
          <w:rFonts w:asciiTheme="minorHAnsi" w:hAnsiTheme="minorHAnsi" w:cstheme="minorHAnsi"/>
          <w:bCs/>
        </w:rPr>
        <w:t xml:space="preserve">(3 TP, 1 80 %) </w:t>
      </w:r>
      <w:r w:rsidRPr="00D22EE7">
        <w:rPr>
          <w:rFonts w:asciiTheme="minorHAnsi" w:hAnsiTheme="minorHAnsi" w:cstheme="minorHAnsi"/>
          <w:bCs/>
        </w:rPr>
        <w:t>+</w:t>
      </w:r>
      <w:r w:rsidR="00D22EE7">
        <w:rPr>
          <w:rFonts w:asciiTheme="minorHAnsi" w:hAnsiTheme="minorHAnsi" w:cstheme="minorHAnsi"/>
          <w:bCs/>
        </w:rPr>
        <w:t xml:space="preserve"> </w:t>
      </w:r>
      <w:r w:rsidRPr="00D22EE7">
        <w:rPr>
          <w:rFonts w:asciiTheme="minorHAnsi" w:hAnsiTheme="minorHAnsi" w:cstheme="minorHAnsi"/>
          <w:bCs/>
        </w:rPr>
        <w:t>9 préparateurs en pharmacie</w:t>
      </w:r>
    </w:p>
    <w:p w14:paraId="0FA735F4" w14:textId="77777777" w:rsidR="0001597F" w:rsidRDefault="0001597F" w:rsidP="0001597F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0,5 cadre de santé</w:t>
      </w:r>
    </w:p>
    <w:p w14:paraId="1CCD8C9D" w14:textId="77777777" w:rsidR="0001597F" w:rsidRPr="0001597F" w:rsidRDefault="0001597F" w:rsidP="00383222">
      <w:pPr>
        <w:pStyle w:val="Paragraphedeliste"/>
        <w:numPr>
          <w:ilvl w:val="0"/>
          <w:numId w:val="26"/>
        </w:numPr>
        <w:spacing w:after="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 agent administratif</w:t>
      </w:r>
    </w:p>
    <w:p w14:paraId="149814A4" w14:textId="77777777" w:rsidR="00D22EE7" w:rsidRDefault="00D22EE7" w:rsidP="00383222">
      <w:pPr>
        <w:spacing w:after="60" w:line="259" w:lineRule="auto"/>
        <w:jc w:val="both"/>
        <w:rPr>
          <w:rFonts w:asciiTheme="minorHAnsi" w:hAnsiTheme="minorHAnsi" w:cstheme="minorHAnsi"/>
          <w:bCs/>
        </w:rPr>
      </w:pPr>
      <w:r w:rsidRPr="00C21CEA">
        <w:rPr>
          <w:rFonts w:asciiTheme="minorHAnsi" w:hAnsiTheme="minorHAnsi" w:cstheme="minorHAnsi"/>
          <w:bCs/>
          <w:u w:val="single"/>
        </w:rPr>
        <w:t>Effectifs du site de Banyuls</w:t>
      </w:r>
      <w:r>
        <w:rPr>
          <w:rFonts w:asciiTheme="minorHAnsi" w:hAnsiTheme="minorHAnsi" w:cstheme="minorHAnsi"/>
          <w:bCs/>
        </w:rPr>
        <w:t xml:space="preserve"> :</w:t>
      </w:r>
    </w:p>
    <w:p w14:paraId="295C947F" w14:textId="3E220E28" w:rsidR="00D22EE7" w:rsidRPr="00620925" w:rsidRDefault="00D22EE7" w:rsidP="00383222">
      <w:pPr>
        <w:pStyle w:val="Paragraphedeliste"/>
        <w:numPr>
          <w:ilvl w:val="0"/>
          <w:numId w:val="26"/>
        </w:numPr>
        <w:spacing w:after="60" w:line="259" w:lineRule="auto"/>
        <w:jc w:val="both"/>
        <w:rPr>
          <w:rFonts w:asciiTheme="minorHAnsi" w:hAnsiTheme="minorHAnsi" w:cstheme="minorHAnsi"/>
          <w:bCs/>
        </w:rPr>
      </w:pPr>
      <w:r w:rsidRPr="00620925">
        <w:rPr>
          <w:rFonts w:asciiTheme="minorHAnsi" w:hAnsiTheme="minorHAnsi" w:cstheme="minorHAnsi"/>
          <w:bCs/>
        </w:rPr>
        <w:t xml:space="preserve">1 pharmacien (1 TP) + </w:t>
      </w:r>
      <w:r w:rsidR="00BB7476" w:rsidRPr="00620925">
        <w:rPr>
          <w:rFonts w:asciiTheme="minorHAnsi" w:hAnsiTheme="minorHAnsi" w:cstheme="minorHAnsi"/>
          <w:bCs/>
        </w:rPr>
        <w:t xml:space="preserve">3 </w:t>
      </w:r>
      <w:r w:rsidRPr="00620925">
        <w:rPr>
          <w:rFonts w:asciiTheme="minorHAnsi" w:hAnsiTheme="minorHAnsi" w:cstheme="minorHAnsi"/>
          <w:bCs/>
        </w:rPr>
        <w:t>préparatrices en pharmacie</w:t>
      </w:r>
      <w:r w:rsidR="00BB7476" w:rsidRPr="00620925">
        <w:rPr>
          <w:rFonts w:asciiTheme="minorHAnsi" w:hAnsiTheme="minorHAnsi" w:cstheme="minorHAnsi"/>
          <w:bCs/>
        </w:rPr>
        <w:t xml:space="preserve"> (2 </w:t>
      </w:r>
      <w:r w:rsidR="00620925" w:rsidRPr="00620925">
        <w:rPr>
          <w:rFonts w:asciiTheme="minorHAnsi" w:hAnsiTheme="minorHAnsi" w:cstheme="minorHAnsi"/>
          <w:bCs/>
        </w:rPr>
        <w:t>ETP)</w:t>
      </w:r>
    </w:p>
    <w:p w14:paraId="5FB99976" w14:textId="77777777" w:rsidR="00D22EE7" w:rsidRDefault="00D22EE7" w:rsidP="00383222">
      <w:pPr>
        <w:spacing w:after="60" w:line="259" w:lineRule="auto"/>
        <w:jc w:val="both"/>
        <w:rPr>
          <w:rFonts w:asciiTheme="minorHAnsi" w:hAnsiTheme="minorHAnsi" w:cstheme="minorHAnsi"/>
          <w:bCs/>
        </w:rPr>
      </w:pPr>
      <w:r w:rsidRPr="00C21CEA">
        <w:rPr>
          <w:rFonts w:asciiTheme="minorHAnsi" w:hAnsiTheme="minorHAnsi" w:cstheme="minorHAnsi"/>
          <w:bCs/>
          <w:u w:val="single"/>
        </w:rPr>
        <w:t>Moyens automatisés et informatisés</w:t>
      </w:r>
      <w:r>
        <w:rPr>
          <w:rFonts w:asciiTheme="minorHAnsi" w:hAnsiTheme="minorHAnsi" w:cstheme="minorHAnsi"/>
          <w:bCs/>
        </w:rPr>
        <w:t>:</w:t>
      </w:r>
    </w:p>
    <w:p w14:paraId="6E412F16" w14:textId="77777777" w:rsidR="00D22EE7" w:rsidRDefault="00D22EE7" w:rsidP="00D22EE7">
      <w:pPr>
        <w:pStyle w:val="Paragraphedeliste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01597F">
        <w:rPr>
          <w:rFonts w:asciiTheme="minorHAnsi" w:hAnsiTheme="minorHAnsi" w:cstheme="minorHAnsi"/>
          <w:bCs/>
        </w:rPr>
        <w:t>Dispensation nominative automatisée</w:t>
      </w:r>
      <w:r>
        <w:rPr>
          <w:rFonts w:asciiTheme="minorHAnsi" w:hAnsiTheme="minorHAnsi" w:cstheme="minorHAnsi"/>
          <w:bCs/>
        </w:rPr>
        <w:t xml:space="preserve"> par surconditionnement de doses unitaires </w:t>
      </w:r>
      <w:r w:rsidRPr="0001597F">
        <w:rPr>
          <w:rFonts w:asciiTheme="minorHAnsi" w:hAnsiTheme="minorHAnsi" w:cstheme="minorHAnsi"/>
          <w:bCs/>
        </w:rPr>
        <w:t>déployé</w:t>
      </w:r>
      <w:r>
        <w:rPr>
          <w:rFonts w:asciiTheme="minorHAnsi" w:hAnsiTheme="minorHAnsi" w:cstheme="minorHAnsi"/>
          <w:bCs/>
        </w:rPr>
        <w:t xml:space="preserve">e sur l'ensemble des structures (Eco-Dex – DeeNova) depuis 2013. A ce jour, production des doses à administrer (PDA) uniquement sur le site de Thuir. </w:t>
      </w:r>
    </w:p>
    <w:p w14:paraId="55B85C6C" w14:textId="77777777" w:rsidR="00D22EE7" w:rsidRDefault="00D22EE7" w:rsidP="00D22EE7">
      <w:pPr>
        <w:pStyle w:val="Paragraphedeliste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Automate de réception – sérialisation - délivrance globale (Omnicell) depuis 2019 (site Thuir)</w:t>
      </w:r>
    </w:p>
    <w:p w14:paraId="1CBE77C6" w14:textId="77777777" w:rsidR="00D22EE7" w:rsidRDefault="00D22EE7" w:rsidP="00D22EE7">
      <w:pPr>
        <w:pStyle w:val="Paragraphedeliste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Gestion de stock : logiciel Copilote</w:t>
      </w:r>
    </w:p>
    <w:p w14:paraId="3DE163DB" w14:textId="25C80998" w:rsidR="00D22EE7" w:rsidRPr="009263B0" w:rsidRDefault="00D22EE7" w:rsidP="009263B0">
      <w:pPr>
        <w:pStyle w:val="Paragraphedeliste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Logiciels de dossiers patients informatisés : Cortexte, BLsoins, Titan, NetSoins</w:t>
      </w:r>
    </w:p>
    <w:p w14:paraId="6BF3B439" w14:textId="4B7BBA1D" w:rsidR="00D22EE7" w:rsidRDefault="00D22EE7" w:rsidP="0038322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3° CARACTERISTIQUES DU POSTE : </w:t>
      </w:r>
    </w:p>
    <w:p w14:paraId="7F55ECA8" w14:textId="77777777" w:rsidR="00D22EE7" w:rsidRDefault="00D22EE7" w:rsidP="00D22EE7">
      <w:pPr>
        <w:rPr>
          <w:rFonts w:asciiTheme="minorHAnsi" w:hAnsiTheme="minorHAnsi" w:cstheme="minorHAnsi"/>
        </w:rPr>
      </w:pPr>
      <w:r w:rsidRPr="00D868CC">
        <w:rPr>
          <w:rFonts w:asciiTheme="minorHAnsi" w:hAnsiTheme="minorHAnsi" w:cstheme="minorHAnsi"/>
          <w:u w:val="single"/>
        </w:rPr>
        <w:t>Selon le contexte réglementaire</w:t>
      </w:r>
      <w:r w:rsidRPr="00927D33">
        <w:rPr>
          <w:rFonts w:asciiTheme="minorHAnsi" w:hAnsiTheme="minorHAnsi" w:cstheme="minorHAnsi"/>
        </w:rPr>
        <w:t xml:space="preserve"> : </w:t>
      </w:r>
    </w:p>
    <w:p w14:paraId="1E64F646" w14:textId="77777777" w:rsidR="00D22EE7" w:rsidRPr="00D868CC" w:rsidRDefault="00D22EE7" w:rsidP="00D22EE7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2489E0B" w14:textId="77777777" w:rsidR="00D22EE7" w:rsidRPr="00D868CC" w:rsidRDefault="00D22EE7" w:rsidP="00D22EE7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</w:rPr>
      </w:pPr>
      <w:r w:rsidRPr="00D868CC">
        <w:rPr>
          <w:rFonts w:asciiTheme="minorHAnsi" w:eastAsiaTheme="minorHAnsi" w:hAnsiTheme="minorHAnsi" w:cstheme="minorHAnsi"/>
        </w:rPr>
        <w:t>• Code de la santé publique, articles : R. 4235-1 et suivants ; R. 4235</w:t>
      </w:r>
      <w:r w:rsidRPr="00D868CC">
        <w:rPr>
          <w:rFonts w:ascii="Cambria Math" w:eastAsiaTheme="minorHAnsi" w:hAnsi="Cambria Math" w:cs="Cambria Math"/>
        </w:rPr>
        <w:t>‑</w:t>
      </w:r>
      <w:r w:rsidRPr="00D868CC">
        <w:rPr>
          <w:rFonts w:asciiTheme="minorHAnsi" w:eastAsiaTheme="minorHAnsi" w:hAnsiTheme="minorHAnsi" w:cstheme="minorHAnsi"/>
        </w:rPr>
        <w:t>46 à R. 4235-70 ; R. 5124</w:t>
      </w:r>
      <w:r w:rsidRPr="00D868CC">
        <w:rPr>
          <w:rFonts w:ascii="Cambria Math" w:eastAsiaTheme="minorHAnsi" w:hAnsi="Cambria Math" w:cs="Cambria Math"/>
        </w:rPr>
        <w:t>‑</w:t>
      </w:r>
      <w:r w:rsidRPr="00D868CC">
        <w:rPr>
          <w:rFonts w:asciiTheme="minorHAnsi" w:eastAsiaTheme="minorHAnsi" w:hAnsiTheme="minorHAnsi" w:cstheme="minorHAnsi"/>
        </w:rPr>
        <w:t>57-1 à R. 5124-57-6 ; R. 5126-9 et R. 5126</w:t>
      </w:r>
      <w:r w:rsidRPr="00D868CC">
        <w:rPr>
          <w:rFonts w:ascii="Cambria Math" w:eastAsiaTheme="minorHAnsi" w:hAnsi="Cambria Math" w:cs="Cambria Math"/>
        </w:rPr>
        <w:t>‑</w:t>
      </w:r>
      <w:r w:rsidRPr="00D868CC">
        <w:rPr>
          <w:rFonts w:asciiTheme="minorHAnsi" w:eastAsiaTheme="minorHAnsi" w:hAnsiTheme="minorHAnsi" w:cstheme="minorHAnsi"/>
        </w:rPr>
        <w:t>10 ; R. 5212-38 ; L. 4211</w:t>
      </w:r>
      <w:r w:rsidRPr="00D868CC">
        <w:rPr>
          <w:rFonts w:ascii="Cambria Math" w:eastAsiaTheme="minorHAnsi" w:hAnsi="Cambria Math" w:cs="Cambria Math"/>
        </w:rPr>
        <w:t>‑</w:t>
      </w:r>
      <w:r w:rsidRPr="00D868CC">
        <w:rPr>
          <w:rFonts w:asciiTheme="minorHAnsi" w:eastAsiaTheme="minorHAnsi" w:hAnsiTheme="minorHAnsi" w:cstheme="minorHAnsi"/>
        </w:rPr>
        <w:t>1 ; L. 5121-1 ; L. 5126-2 à L. 5126-5 ; L. 5126-11 ; L. 5137-1 et L. 5137-2 ; L. 6111-1</w:t>
      </w:r>
    </w:p>
    <w:p w14:paraId="56E3D1D4" w14:textId="77777777" w:rsidR="00D22EE7" w:rsidRPr="00D868CC" w:rsidRDefault="00D22EE7" w:rsidP="00D22EE7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sz w:val="4"/>
          <w:szCs w:val="4"/>
        </w:rPr>
      </w:pPr>
    </w:p>
    <w:p w14:paraId="7CF596F1" w14:textId="77777777" w:rsidR="00D22EE7" w:rsidRDefault="00D22EE7" w:rsidP="00D22EE7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iCs/>
        </w:rPr>
      </w:pPr>
      <w:r w:rsidRPr="00D868CC">
        <w:rPr>
          <w:rFonts w:asciiTheme="minorHAnsi" w:eastAsiaTheme="minorHAnsi" w:hAnsiTheme="minorHAnsi" w:cstheme="minorHAnsi"/>
        </w:rPr>
        <w:t>•</w:t>
      </w:r>
      <w:r>
        <w:rPr>
          <w:rFonts w:asciiTheme="minorHAnsi" w:eastAsiaTheme="minorHAnsi" w:hAnsiTheme="minorHAnsi" w:cstheme="minorHAnsi"/>
        </w:rPr>
        <w:t xml:space="preserve"> </w:t>
      </w:r>
      <w:r w:rsidRPr="00085BCE">
        <w:rPr>
          <w:rFonts w:asciiTheme="minorHAnsi" w:eastAsiaTheme="minorHAnsi" w:hAnsiTheme="minorHAnsi" w:cstheme="minorHAnsi"/>
        </w:rPr>
        <w:t xml:space="preserve">Arrêté du 31 mars 1999 relatif à la prescription, dispensation et administration des médicaments en </w:t>
      </w:r>
      <w:r w:rsidRPr="00085BCE">
        <w:rPr>
          <w:rFonts w:asciiTheme="minorHAnsi" w:eastAsiaTheme="minorHAnsi" w:hAnsiTheme="minorHAnsi" w:cstheme="minorHAnsi"/>
          <w:iCs/>
        </w:rPr>
        <w:t>établissement médico-social</w:t>
      </w:r>
      <w:r>
        <w:rPr>
          <w:rFonts w:asciiTheme="minorHAnsi" w:eastAsiaTheme="minorHAnsi" w:hAnsiTheme="minorHAnsi" w:cstheme="minorHAnsi"/>
          <w:iCs/>
        </w:rPr>
        <w:t xml:space="preserve"> ; </w:t>
      </w:r>
    </w:p>
    <w:p w14:paraId="74AC8F16" w14:textId="77777777" w:rsidR="00D22EE7" w:rsidRPr="00085BCE" w:rsidRDefault="00D22EE7" w:rsidP="00D22EE7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</w:rPr>
      </w:pPr>
      <w:r w:rsidRPr="00D868CC">
        <w:rPr>
          <w:rFonts w:asciiTheme="minorHAnsi" w:eastAsiaTheme="minorHAnsi" w:hAnsiTheme="minorHAnsi" w:cstheme="minorHAnsi"/>
        </w:rPr>
        <w:t>• Arrêté du 28 avril 2005 relatif aux bonnes pratiques de pharmacovigilance</w:t>
      </w:r>
      <w:r>
        <w:rPr>
          <w:rFonts w:asciiTheme="minorHAnsi" w:eastAsiaTheme="minorHAnsi" w:hAnsiTheme="minorHAnsi" w:cstheme="minorHAnsi"/>
        </w:rPr>
        <w:t> ;</w:t>
      </w:r>
    </w:p>
    <w:p w14:paraId="1AFA42CB" w14:textId="77777777" w:rsidR="00D22EE7" w:rsidRDefault="00D22EE7" w:rsidP="00D22EE7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</w:rPr>
      </w:pPr>
      <w:r w:rsidRPr="00D868CC">
        <w:rPr>
          <w:rFonts w:asciiTheme="minorHAnsi" w:eastAsiaTheme="minorHAnsi" w:hAnsiTheme="minorHAnsi" w:cstheme="minorHAnsi"/>
        </w:rPr>
        <w:t>•</w:t>
      </w:r>
      <w:r>
        <w:rPr>
          <w:rFonts w:asciiTheme="minorHAnsi" w:eastAsiaTheme="minorHAnsi" w:hAnsiTheme="minorHAnsi" w:cstheme="minorHAnsi"/>
        </w:rPr>
        <w:t xml:space="preserve"> </w:t>
      </w:r>
      <w:r w:rsidRPr="00085BCE">
        <w:rPr>
          <w:rFonts w:asciiTheme="minorHAnsi" w:eastAsiaTheme="minorHAnsi" w:hAnsiTheme="minorHAnsi" w:cstheme="minorHAnsi"/>
        </w:rPr>
        <w:t>Arrêté 6 avril 2011 relatif au management de la qualité de la prise en charge médicamenteuse et aux médicaments dans les établissements de santé</w:t>
      </w:r>
      <w:r>
        <w:rPr>
          <w:rFonts w:asciiTheme="minorHAnsi" w:eastAsiaTheme="minorHAnsi" w:hAnsiTheme="minorHAnsi" w:cstheme="minorHAnsi"/>
        </w:rPr>
        <w:t xml:space="preserve"> ; </w:t>
      </w:r>
    </w:p>
    <w:p w14:paraId="0DE12CB5" w14:textId="77777777" w:rsidR="00D22EE7" w:rsidRPr="00085BCE" w:rsidRDefault="00D22EE7" w:rsidP="00D22EE7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b/>
        </w:rPr>
      </w:pPr>
      <w:r w:rsidRPr="00D868CC">
        <w:rPr>
          <w:rFonts w:asciiTheme="minorHAnsi" w:eastAsiaTheme="minorHAnsi" w:hAnsiTheme="minorHAnsi" w:cstheme="minorHAnsi"/>
        </w:rPr>
        <w:t>•</w:t>
      </w:r>
      <w:r>
        <w:rPr>
          <w:rFonts w:asciiTheme="minorHAnsi" w:eastAsiaTheme="minorHAnsi" w:hAnsiTheme="minorHAnsi" w:cstheme="minorHAnsi"/>
        </w:rPr>
        <w:t xml:space="preserve"> </w:t>
      </w:r>
      <w:r w:rsidRPr="00085BCE">
        <w:rPr>
          <w:rStyle w:val="lev"/>
          <w:rFonts w:asciiTheme="minorHAnsi" w:hAnsiTheme="minorHAnsi" w:cstheme="minorHAnsi"/>
          <w:b w:val="0"/>
        </w:rPr>
        <w:t>Décret n° 2019-489 du 21 mai 2019 relatif aux pharmacies à usage intérieur</w:t>
      </w:r>
      <w:r>
        <w:rPr>
          <w:rStyle w:val="lev"/>
          <w:rFonts w:asciiTheme="minorHAnsi" w:hAnsiTheme="minorHAnsi" w:cstheme="minorHAnsi"/>
          <w:b w:val="0"/>
        </w:rPr>
        <w:t>.</w:t>
      </w:r>
    </w:p>
    <w:p w14:paraId="127CCFC2" w14:textId="77777777" w:rsidR="00D22EE7" w:rsidRDefault="00D22EE7" w:rsidP="00D22EE7"/>
    <w:p w14:paraId="593AFB33" w14:textId="77777777" w:rsidR="00D22EE7" w:rsidRPr="00D868CC" w:rsidRDefault="00D22EE7" w:rsidP="00D22EE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Pr="00D868CC">
        <w:rPr>
          <w:rFonts w:asciiTheme="minorHAnsi" w:hAnsiTheme="minorHAnsi" w:cstheme="minorHAnsi"/>
          <w:b/>
        </w:rPr>
        <w:t>ous l’</w:t>
      </w:r>
      <w:r>
        <w:rPr>
          <w:rFonts w:asciiTheme="minorHAnsi" w:hAnsiTheme="minorHAnsi" w:cstheme="minorHAnsi"/>
          <w:b/>
        </w:rPr>
        <w:t>autorité de la</w:t>
      </w:r>
      <w:r w:rsidRPr="00D868CC">
        <w:rPr>
          <w:rFonts w:asciiTheme="minorHAnsi" w:hAnsiTheme="minorHAnsi" w:cstheme="minorHAnsi"/>
          <w:b/>
        </w:rPr>
        <w:t xml:space="preserve"> pharmacien</w:t>
      </w:r>
      <w:r>
        <w:rPr>
          <w:rFonts w:asciiTheme="minorHAnsi" w:hAnsiTheme="minorHAnsi" w:cstheme="minorHAnsi"/>
          <w:b/>
        </w:rPr>
        <w:t>ne</w:t>
      </w:r>
      <w:r w:rsidRPr="00D868C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gérante </w:t>
      </w:r>
      <w:r w:rsidRPr="00D868CC">
        <w:rPr>
          <w:rFonts w:asciiTheme="minorHAnsi" w:hAnsiTheme="minorHAnsi" w:cstheme="minorHAnsi"/>
          <w:b/>
        </w:rPr>
        <w:t xml:space="preserve">pharmacie à usage intérieur (PUI) du GCS Pharmacoopé </w:t>
      </w:r>
      <w:r>
        <w:rPr>
          <w:rFonts w:asciiTheme="minorHAnsi" w:hAnsiTheme="minorHAnsi" w:cstheme="minorHAnsi"/>
          <w:b/>
        </w:rPr>
        <w:t xml:space="preserve">et des responsables d‘unités fonctionnelles </w:t>
      </w:r>
      <w:r w:rsidRPr="00D868CC">
        <w:rPr>
          <w:rFonts w:asciiTheme="minorHAnsi" w:hAnsiTheme="minorHAnsi" w:cstheme="minorHAnsi"/>
          <w:b/>
        </w:rPr>
        <w:t>pour remplir les missions</w:t>
      </w:r>
      <w:r>
        <w:rPr>
          <w:rFonts w:asciiTheme="minorHAnsi" w:hAnsiTheme="minorHAnsi" w:cstheme="minorHAnsi"/>
          <w:b/>
        </w:rPr>
        <w:t xml:space="preserve"> réglementaires de la PUI dans les</w:t>
      </w:r>
      <w:r w:rsidRPr="00D868CC">
        <w:rPr>
          <w:rFonts w:asciiTheme="minorHAnsi" w:hAnsiTheme="minorHAnsi" w:cstheme="minorHAnsi"/>
          <w:b/>
        </w:rPr>
        <w:t xml:space="preserve"> périmètre</w:t>
      </w:r>
      <w:r>
        <w:rPr>
          <w:rFonts w:asciiTheme="minorHAnsi" w:hAnsiTheme="minorHAnsi" w:cstheme="minorHAnsi"/>
          <w:b/>
        </w:rPr>
        <w:t>s</w:t>
      </w:r>
      <w:r w:rsidRPr="00D868CC">
        <w:rPr>
          <w:rFonts w:asciiTheme="minorHAnsi" w:hAnsiTheme="minorHAnsi" w:cstheme="minorHAnsi"/>
          <w:b/>
        </w:rPr>
        <w:t xml:space="preserve"> d’activités</w:t>
      </w:r>
      <w:r>
        <w:rPr>
          <w:rFonts w:asciiTheme="minorHAnsi" w:hAnsiTheme="minorHAnsi" w:cstheme="minorHAnsi"/>
          <w:b/>
        </w:rPr>
        <w:t xml:space="preserve"> respectives</w:t>
      </w:r>
      <w:r w:rsidRPr="00D868CC">
        <w:rPr>
          <w:rFonts w:asciiTheme="minorHAnsi" w:hAnsiTheme="minorHAnsi" w:cstheme="minorHAnsi"/>
          <w:b/>
        </w:rPr>
        <w:t xml:space="preserve"> (unité</w:t>
      </w:r>
      <w:r>
        <w:rPr>
          <w:rFonts w:asciiTheme="minorHAnsi" w:hAnsiTheme="minorHAnsi" w:cstheme="minorHAnsi"/>
          <w:b/>
        </w:rPr>
        <w:t>s</w:t>
      </w:r>
      <w:r w:rsidRPr="00D868CC">
        <w:rPr>
          <w:rFonts w:asciiTheme="minorHAnsi" w:hAnsiTheme="minorHAnsi" w:cstheme="minorHAnsi"/>
          <w:b/>
        </w:rPr>
        <w:t xml:space="preserve"> fonctionnelle</w:t>
      </w:r>
      <w:r>
        <w:rPr>
          <w:rFonts w:asciiTheme="minorHAnsi" w:hAnsiTheme="minorHAnsi" w:cstheme="minorHAnsi"/>
          <w:b/>
        </w:rPr>
        <w:t>s</w:t>
      </w:r>
      <w:r w:rsidRPr="00D868CC">
        <w:rPr>
          <w:rFonts w:asciiTheme="minorHAnsi" w:hAnsiTheme="minorHAnsi" w:cstheme="minorHAnsi"/>
          <w:b/>
        </w:rPr>
        <w:t xml:space="preserve"> PUI GCS Pharmacoopé – site de </w:t>
      </w:r>
      <w:r>
        <w:rPr>
          <w:rFonts w:asciiTheme="minorHAnsi" w:hAnsiTheme="minorHAnsi" w:cstheme="minorHAnsi"/>
          <w:b/>
        </w:rPr>
        <w:t>Thuir et site de Banyuls</w:t>
      </w:r>
      <w:r w:rsidRPr="00D868CC">
        <w:rPr>
          <w:rFonts w:asciiTheme="minorHAnsi" w:hAnsiTheme="minorHAnsi" w:cstheme="minorHAnsi"/>
          <w:b/>
        </w:rPr>
        <w:t xml:space="preserve">). </w:t>
      </w:r>
    </w:p>
    <w:p w14:paraId="46C3B66F" w14:textId="77777777" w:rsidR="00D22EE7" w:rsidRPr="00D868CC" w:rsidRDefault="00D22EE7" w:rsidP="00D22EE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D3A912C" w14:textId="77777777" w:rsidR="00D22EE7" w:rsidRDefault="00D22EE7" w:rsidP="00D22EE7">
      <w:pPr>
        <w:pStyle w:val="Sansinterligne"/>
        <w:numPr>
          <w:ilvl w:val="0"/>
          <w:numId w:val="17"/>
        </w:numPr>
        <w:tabs>
          <w:tab w:val="clear" w:pos="1425"/>
          <w:tab w:val="num" w:pos="142"/>
        </w:tabs>
        <w:ind w:left="709" w:hanging="283"/>
        <w:jc w:val="both"/>
        <w:rPr>
          <w:rFonts w:asciiTheme="minorHAnsi" w:hAnsiTheme="minorHAnsi" w:cstheme="minorHAnsi"/>
          <w:szCs w:val="24"/>
        </w:rPr>
      </w:pPr>
      <w:r w:rsidRPr="00D868CC">
        <w:rPr>
          <w:rFonts w:asciiTheme="minorHAnsi" w:hAnsiTheme="minorHAnsi" w:cstheme="minorHAnsi"/>
          <w:szCs w:val="24"/>
        </w:rPr>
        <w:t>Mission de service public</w:t>
      </w:r>
    </w:p>
    <w:p w14:paraId="2AE01E73" w14:textId="77777777" w:rsidR="00D22EE7" w:rsidRDefault="00D22EE7" w:rsidP="00D22EE7">
      <w:pPr>
        <w:pStyle w:val="Sansinterligne"/>
        <w:numPr>
          <w:ilvl w:val="0"/>
          <w:numId w:val="17"/>
        </w:numPr>
        <w:tabs>
          <w:tab w:val="clear" w:pos="1425"/>
          <w:tab w:val="num" w:pos="142"/>
        </w:tabs>
        <w:ind w:left="709" w:hanging="283"/>
        <w:jc w:val="both"/>
        <w:rPr>
          <w:rFonts w:asciiTheme="minorHAnsi" w:hAnsiTheme="minorHAnsi" w:cstheme="minorHAnsi"/>
          <w:szCs w:val="24"/>
        </w:rPr>
      </w:pPr>
      <w:r w:rsidRPr="00D868CC">
        <w:rPr>
          <w:rFonts w:asciiTheme="minorHAnsi" w:hAnsiTheme="minorHAnsi" w:cstheme="minorHAnsi"/>
          <w:szCs w:val="24"/>
        </w:rPr>
        <w:t>Travail du lundi au</w:t>
      </w:r>
      <w:r>
        <w:rPr>
          <w:rFonts w:asciiTheme="minorHAnsi" w:hAnsiTheme="minorHAnsi" w:cstheme="minorHAnsi"/>
          <w:szCs w:val="24"/>
        </w:rPr>
        <w:t xml:space="preserve"> vendredi selon planning établi</w:t>
      </w:r>
    </w:p>
    <w:p w14:paraId="72FCF6F8" w14:textId="77777777" w:rsidR="00D22EE7" w:rsidRPr="00335547" w:rsidRDefault="00D22EE7" w:rsidP="00D22EE7">
      <w:pPr>
        <w:pStyle w:val="Sansinterligne"/>
        <w:numPr>
          <w:ilvl w:val="0"/>
          <w:numId w:val="17"/>
        </w:numPr>
        <w:tabs>
          <w:tab w:val="clear" w:pos="1425"/>
          <w:tab w:val="num" w:pos="142"/>
        </w:tabs>
        <w:ind w:left="709" w:hanging="283"/>
        <w:jc w:val="both"/>
        <w:rPr>
          <w:rFonts w:asciiTheme="minorHAnsi" w:hAnsiTheme="minorHAnsi" w:cstheme="minorHAnsi"/>
          <w:szCs w:val="24"/>
        </w:rPr>
      </w:pPr>
      <w:r w:rsidRPr="00D868CC">
        <w:rPr>
          <w:rFonts w:asciiTheme="minorHAnsi" w:hAnsiTheme="minorHAnsi" w:cstheme="minorHAnsi"/>
          <w:szCs w:val="24"/>
        </w:rPr>
        <w:t>Participation au service d’astreintes pharmaceutiques</w:t>
      </w:r>
      <w:r>
        <w:rPr>
          <w:rFonts w:asciiTheme="minorHAnsi" w:hAnsiTheme="minorHAnsi" w:cstheme="minorHAnsi"/>
          <w:szCs w:val="24"/>
        </w:rPr>
        <w:t xml:space="preserve"> opérationnelles </w:t>
      </w:r>
      <w:r w:rsidRPr="00335547">
        <w:rPr>
          <w:rFonts w:asciiTheme="minorHAnsi" w:hAnsiTheme="minorHAnsi" w:cstheme="minorHAnsi"/>
          <w:szCs w:val="24"/>
        </w:rPr>
        <w:t>sur le site de Thuir</w:t>
      </w:r>
    </w:p>
    <w:p w14:paraId="6D9B7616" w14:textId="77777777" w:rsidR="00D22EE7" w:rsidRDefault="00D22EE7" w:rsidP="00D22EE7">
      <w:pPr>
        <w:pStyle w:val="Sansinterligne"/>
        <w:numPr>
          <w:ilvl w:val="0"/>
          <w:numId w:val="17"/>
        </w:numPr>
        <w:tabs>
          <w:tab w:val="clear" w:pos="1425"/>
          <w:tab w:val="num" w:pos="709"/>
        </w:tabs>
        <w:ind w:hanging="99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Positionnement dans l’organigramme : </w:t>
      </w:r>
    </w:p>
    <w:p w14:paraId="000E1CB6" w14:textId="5B8EC0C9" w:rsidR="00D22EE7" w:rsidRDefault="00D22EE7" w:rsidP="00D22EE7">
      <w:pPr>
        <w:pStyle w:val="Sansinterligne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Cf. Organigramme </w:t>
      </w:r>
      <w:r w:rsidR="009263B0">
        <w:rPr>
          <w:rFonts w:asciiTheme="minorHAnsi" w:hAnsiTheme="minorHAnsi" w:cstheme="minorHAnsi"/>
          <w:szCs w:val="24"/>
        </w:rPr>
        <w:t xml:space="preserve">de la PUI GCS Pharmacoopé </w:t>
      </w:r>
      <w:r>
        <w:rPr>
          <w:rFonts w:asciiTheme="minorHAnsi" w:hAnsiTheme="minorHAnsi" w:cstheme="minorHAnsi"/>
          <w:szCs w:val="24"/>
        </w:rPr>
        <w:t>;</w:t>
      </w:r>
    </w:p>
    <w:p w14:paraId="38702931" w14:textId="77777777" w:rsidR="00D22EE7" w:rsidRPr="00D868CC" w:rsidRDefault="00D22EE7" w:rsidP="00D22EE7">
      <w:pPr>
        <w:pStyle w:val="Sansinterligne"/>
        <w:ind w:left="1428"/>
        <w:jc w:val="both"/>
        <w:rPr>
          <w:rFonts w:asciiTheme="minorHAnsi" w:hAnsiTheme="minorHAnsi" w:cstheme="minorHAnsi"/>
          <w:sz w:val="4"/>
          <w:szCs w:val="4"/>
        </w:rPr>
      </w:pPr>
    </w:p>
    <w:p w14:paraId="41E903AF" w14:textId="77777777" w:rsidR="00D22EE7" w:rsidRPr="00D868CC" w:rsidRDefault="00D22EE7" w:rsidP="00D22EE7">
      <w:pPr>
        <w:pStyle w:val="Sansinterligne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Liaisons hiérarchiques : </w:t>
      </w:r>
      <w:r>
        <w:rPr>
          <w:rFonts w:asciiTheme="minorHAnsi" w:hAnsiTheme="minorHAnsi" w:cstheme="minorHAnsi"/>
          <w:szCs w:val="24"/>
        </w:rPr>
        <w:t xml:space="preserve">Pharmacienne gérante PUI GCS Pharmacoopé ; Pharmacienne responsable unité fonctionnelle PUI GCS Pharmacoopé – site de Thuir et Pharmacien responsable unité fonctionnelle PUI GCS Pharmacoopé – site de Banyuls). </w:t>
      </w:r>
    </w:p>
    <w:p w14:paraId="233F319C" w14:textId="77777777" w:rsidR="00D22EE7" w:rsidRDefault="00D22EE7" w:rsidP="00D22EE7">
      <w:pPr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4A5EE9C4" w14:textId="77777777" w:rsidR="00546FD5" w:rsidRPr="00D22EE7" w:rsidRDefault="00D22EE7" w:rsidP="00D22EE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60073C" w:rsidRPr="00D868CC">
        <w:rPr>
          <w:rFonts w:asciiTheme="minorHAnsi" w:hAnsiTheme="minorHAnsi" w:cstheme="minorHAnsi"/>
          <w:b/>
          <w:bCs/>
        </w:rPr>
        <w:t xml:space="preserve">° DESCRIPTION </w:t>
      </w:r>
      <w:r w:rsidR="00297C2E">
        <w:rPr>
          <w:rFonts w:asciiTheme="minorHAnsi" w:hAnsiTheme="minorHAnsi" w:cstheme="minorHAnsi"/>
          <w:b/>
          <w:bCs/>
        </w:rPr>
        <w:t>DU POSTE</w:t>
      </w:r>
      <w:r w:rsidR="0060073C" w:rsidRPr="00D868CC">
        <w:rPr>
          <w:rFonts w:asciiTheme="minorHAnsi" w:hAnsiTheme="minorHAnsi" w:cstheme="minorHAnsi"/>
          <w:b/>
          <w:bCs/>
        </w:rPr>
        <w:t xml:space="preserve"> : </w:t>
      </w:r>
    </w:p>
    <w:p w14:paraId="363AD19B" w14:textId="77777777" w:rsidR="0001597F" w:rsidRPr="0059313B" w:rsidRDefault="0001597F" w:rsidP="0001597F">
      <w:pPr>
        <w:ind w:left="720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0987F324" w14:textId="77777777" w:rsidR="0001597F" w:rsidRPr="00335547" w:rsidRDefault="0001597F" w:rsidP="0001597F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D22EE7">
        <w:rPr>
          <w:rFonts w:asciiTheme="minorHAnsi" w:hAnsiTheme="minorHAnsi" w:cstheme="minorHAnsi"/>
          <w:b/>
        </w:rPr>
        <w:t xml:space="preserve">Pharmacien référent </w:t>
      </w:r>
      <w:r w:rsidR="00D22EE7" w:rsidRPr="00D22EE7">
        <w:rPr>
          <w:rFonts w:asciiTheme="minorHAnsi" w:hAnsiTheme="minorHAnsi" w:cstheme="minorHAnsi"/>
          <w:b/>
        </w:rPr>
        <w:t>sur le site de Thuir</w:t>
      </w:r>
      <w:r w:rsidR="00D22EE7">
        <w:rPr>
          <w:rFonts w:asciiTheme="minorHAnsi" w:hAnsiTheme="minorHAnsi" w:cstheme="minorHAnsi"/>
        </w:rPr>
        <w:t xml:space="preserve"> (2 unités de soins psychiatrie adulte en hospitalisation complète et 2 hôpitaux de jour, 1 unité d’hospitalisation complète en pédopsychiatrie ; </w:t>
      </w:r>
      <w:r>
        <w:rPr>
          <w:rFonts w:asciiTheme="minorHAnsi" w:hAnsiTheme="minorHAnsi" w:cstheme="minorHAnsi"/>
        </w:rPr>
        <w:t xml:space="preserve">1 USLD, 3 MAS, 1 IEM) </w:t>
      </w:r>
      <w:r w:rsidR="00D22EE7" w:rsidRPr="00D22EE7">
        <w:rPr>
          <w:rFonts w:asciiTheme="minorHAnsi" w:hAnsiTheme="minorHAnsi" w:cstheme="minorHAnsi"/>
          <w:b/>
        </w:rPr>
        <w:t>et sur le site Banyuls</w:t>
      </w:r>
      <w:r w:rsidR="00D22EE7">
        <w:rPr>
          <w:rFonts w:asciiTheme="minorHAnsi" w:hAnsiTheme="minorHAnsi" w:cstheme="minorHAnsi"/>
        </w:rPr>
        <w:t xml:space="preserve"> (1 EHPAD, 1 MAS)</w:t>
      </w:r>
    </w:p>
    <w:p w14:paraId="3F8758A9" w14:textId="77777777" w:rsidR="00D22EE7" w:rsidRDefault="00D22EE7" w:rsidP="0001597F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Analyse pharmaceutique</w:t>
      </w:r>
    </w:p>
    <w:p w14:paraId="46612828" w14:textId="77777777" w:rsidR="0001597F" w:rsidRDefault="0001597F" w:rsidP="0001597F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335547">
        <w:rPr>
          <w:rFonts w:asciiTheme="minorHAnsi" w:hAnsiTheme="minorHAnsi" w:cstheme="minorHAnsi"/>
        </w:rPr>
        <w:t>Interlocuteur privilégié des équipes</w:t>
      </w:r>
    </w:p>
    <w:p w14:paraId="184E5B6E" w14:textId="77777777" w:rsidR="0001597F" w:rsidRPr="00C26067" w:rsidRDefault="0001597F" w:rsidP="0001597F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C26067">
        <w:rPr>
          <w:rFonts w:asciiTheme="minorHAnsi" w:hAnsiTheme="minorHAnsi" w:cstheme="minorHAnsi"/>
          <w:color w:val="auto"/>
        </w:rPr>
        <w:t>Visite sur sites, audits, accompagnement des équipes</w:t>
      </w:r>
    </w:p>
    <w:p w14:paraId="111636B9" w14:textId="77777777" w:rsidR="0001597F" w:rsidRDefault="0001597F" w:rsidP="0001597F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335547">
        <w:rPr>
          <w:rFonts w:asciiTheme="minorHAnsi" w:hAnsiTheme="minorHAnsi" w:cstheme="minorHAnsi"/>
        </w:rPr>
        <w:t>Organise/participe aux réunions avec équipes, cadres, directions</w:t>
      </w:r>
    </w:p>
    <w:p w14:paraId="1C3E0DAF" w14:textId="77777777" w:rsidR="00D22EE7" w:rsidRPr="00D22EE7" w:rsidRDefault="00D22EE7" w:rsidP="00D22EE7">
      <w:pPr>
        <w:pStyle w:val="Paragraphedeliste"/>
        <w:ind w:left="1440"/>
        <w:jc w:val="both"/>
        <w:rPr>
          <w:rFonts w:asciiTheme="minorHAnsi" w:hAnsiTheme="minorHAnsi" w:cstheme="minorHAnsi"/>
          <w:sz w:val="6"/>
          <w:szCs w:val="6"/>
        </w:rPr>
      </w:pPr>
    </w:p>
    <w:p w14:paraId="139FA813" w14:textId="7D0F9157" w:rsidR="00D22EE7" w:rsidRPr="00C26067" w:rsidRDefault="00D22EE7" w:rsidP="00D22EE7">
      <w:pPr>
        <w:pStyle w:val="Paragraphedeli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D22EE7">
        <w:rPr>
          <w:rFonts w:asciiTheme="minorHAnsi" w:hAnsiTheme="minorHAnsi" w:cstheme="minorHAnsi"/>
          <w:b/>
        </w:rPr>
        <w:t xml:space="preserve">Pharmaco et matériovigilance – </w:t>
      </w:r>
      <w:r w:rsidRPr="00D22EE7">
        <w:rPr>
          <w:rFonts w:asciiTheme="minorHAnsi" w:hAnsiTheme="minorHAnsi" w:cstheme="minorHAnsi"/>
          <w:b/>
          <w:color w:val="auto"/>
        </w:rPr>
        <w:t>Gestion des Risques et prévention des erreurs médicamenteuses</w:t>
      </w:r>
      <w:r>
        <w:rPr>
          <w:rFonts w:asciiTheme="minorHAnsi" w:hAnsiTheme="minorHAnsi" w:cstheme="minorHAnsi"/>
          <w:color w:val="auto"/>
        </w:rPr>
        <w:t xml:space="preserve"> (REMED, Cartographie des Risques)</w:t>
      </w:r>
      <w:r w:rsidR="00823642">
        <w:rPr>
          <w:rFonts w:asciiTheme="minorHAnsi" w:hAnsiTheme="minorHAnsi" w:cstheme="minorHAnsi"/>
          <w:color w:val="auto"/>
        </w:rPr>
        <w:t xml:space="preserve"> sur les sites en référence.</w:t>
      </w:r>
    </w:p>
    <w:p w14:paraId="6EFFAEE6" w14:textId="77777777" w:rsidR="00D22EE7" w:rsidRPr="0059313B" w:rsidRDefault="00D22EE7" w:rsidP="00D22EE7">
      <w:pPr>
        <w:pStyle w:val="Paragraphedeliste"/>
        <w:spacing w:after="0"/>
        <w:jc w:val="both"/>
        <w:rPr>
          <w:rFonts w:asciiTheme="minorHAnsi" w:hAnsiTheme="minorHAnsi" w:cstheme="minorHAnsi"/>
          <w:sz w:val="6"/>
          <w:szCs w:val="6"/>
        </w:rPr>
      </w:pPr>
    </w:p>
    <w:p w14:paraId="61E5B121" w14:textId="77777777" w:rsidR="00D22EE7" w:rsidRPr="00D22EE7" w:rsidRDefault="00D22EE7" w:rsidP="00D22EE7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D22EE7">
        <w:rPr>
          <w:rFonts w:asciiTheme="minorHAnsi" w:hAnsiTheme="minorHAnsi" w:cstheme="minorHAnsi"/>
          <w:b/>
        </w:rPr>
        <w:t>Liaison opérationnelle entre les sites de Thuir et de Banyuls du GCS Pharmacoopé</w:t>
      </w:r>
    </w:p>
    <w:p w14:paraId="1490D147" w14:textId="671F7A0E" w:rsidR="00D22EE7" w:rsidRPr="000C0881" w:rsidRDefault="00823642" w:rsidP="000C0881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Présence </w:t>
      </w:r>
      <w:r w:rsidRPr="00823642">
        <w:rPr>
          <w:rFonts w:asciiTheme="minorHAnsi" w:hAnsiTheme="minorHAnsi" w:cstheme="minorHAnsi"/>
          <w:i/>
          <w:u w:val="single"/>
        </w:rPr>
        <w:t>a minima</w:t>
      </w:r>
      <w:r w:rsidR="00CB618E">
        <w:rPr>
          <w:rFonts w:asciiTheme="minorHAnsi" w:hAnsiTheme="minorHAnsi" w:cstheme="minorHAnsi"/>
          <w:u w:val="single"/>
        </w:rPr>
        <w:t xml:space="preserve"> </w:t>
      </w:r>
      <w:r w:rsidR="009263B0">
        <w:rPr>
          <w:rFonts w:asciiTheme="minorHAnsi" w:hAnsiTheme="minorHAnsi" w:cstheme="minorHAnsi"/>
          <w:u w:val="single"/>
        </w:rPr>
        <w:t>d’une</w:t>
      </w:r>
      <w:r w:rsidR="00D22EE7" w:rsidRPr="00D22EE7">
        <w:rPr>
          <w:rFonts w:asciiTheme="minorHAnsi" w:hAnsiTheme="minorHAnsi" w:cstheme="minorHAnsi"/>
          <w:u w:val="single"/>
        </w:rPr>
        <w:t xml:space="preserve"> journée/semaine</w:t>
      </w:r>
      <w:r w:rsidR="00D22EE7" w:rsidRPr="00335547">
        <w:rPr>
          <w:rFonts w:asciiTheme="minorHAnsi" w:hAnsiTheme="minorHAnsi" w:cstheme="minorHAnsi"/>
        </w:rPr>
        <w:t xml:space="preserve"> sur le site de </w:t>
      </w:r>
      <w:r w:rsidR="00D22EE7">
        <w:rPr>
          <w:rFonts w:asciiTheme="minorHAnsi" w:hAnsiTheme="minorHAnsi" w:cstheme="minorHAnsi"/>
        </w:rPr>
        <w:t>Banyuls (hors nécessité d’une</w:t>
      </w:r>
      <w:r w:rsidR="00D22EE7" w:rsidRPr="00335547">
        <w:rPr>
          <w:rFonts w:asciiTheme="minorHAnsi" w:hAnsiTheme="minorHAnsi" w:cstheme="minorHAnsi"/>
        </w:rPr>
        <w:t xml:space="preserve"> présence </w:t>
      </w:r>
      <w:r w:rsidR="00D22EE7">
        <w:rPr>
          <w:rFonts w:asciiTheme="minorHAnsi" w:hAnsiTheme="minorHAnsi" w:cstheme="minorHAnsi"/>
        </w:rPr>
        <w:t xml:space="preserve">plus importante requise </w:t>
      </w:r>
      <w:r w:rsidR="009263B0">
        <w:rPr>
          <w:rFonts w:asciiTheme="minorHAnsi" w:hAnsiTheme="minorHAnsi" w:cstheme="minorHAnsi"/>
        </w:rPr>
        <w:t>en cas de</w:t>
      </w:r>
      <w:r w:rsidR="00D22EE7">
        <w:rPr>
          <w:rFonts w:asciiTheme="minorHAnsi" w:hAnsiTheme="minorHAnsi" w:cstheme="minorHAnsi"/>
        </w:rPr>
        <w:t xml:space="preserve"> congés </w:t>
      </w:r>
      <w:r w:rsidR="009263B0">
        <w:rPr>
          <w:rFonts w:asciiTheme="minorHAnsi" w:hAnsiTheme="minorHAnsi" w:cstheme="minorHAnsi"/>
        </w:rPr>
        <w:t xml:space="preserve">du pharmacien responsable du site ou de </w:t>
      </w:r>
      <w:r w:rsidR="00D22EE7">
        <w:rPr>
          <w:rFonts w:asciiTheme="minorHAnsi" w:hAnsiTheme="minorHAnsi" w:cstheme="minorHAnsi"/>
        </w:rPr>
        <w:t>missions spécifiques</w:t>
      </w:r>
      <w:r w:rsidR="00D22EE7" w:rsidRPr="00335547">
        <w:rPr>
          <w:rFonts w:asciiTheme="minorHAnsi" w:hAnsiTheme="minorHAnsi" w:cstheme="minorHAnsi"/>
        </w:rPr>
        <w:t>)</w:t>
      </w:r>
    </w:p>
    <w:p w14:paraId="1698D175" w14:textId="77777777" w:rsidR="00003683" w:rsidRDefault="00003683">
      <w:pPr>
        <w:spacing w:after="160" w:line="259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>
        <w:rPr>
          <w:rFonts w:asciiTheme="minorHAnsi" w:hAnsiTheme="minorHAnsi" w:cstheme="minorHAnsi"/>
          <w:b/>
        </w:rPr>
        <w:br w:type="page"/>
      </w:r>
    </w:p>
    <w:p w14:paraId="12B94984" w14:textId="779E7FC6" w:rsidR="00D22EE7" w:rsidRPr="00620925" w:rsidRDefault="00D22EE7" w:rsidP="00D22EE7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620925">
        <w:rPr>
          <w:rFonts w:asciiTheme="minorHAnsi" w:hAnsiTheme="minorHAnsi" w:cstheme="minorHAnsi"/>
          <w:b/>
        </w:rPr>
        <w:lastRenderedPageBreak/>
        <w:t>Automatisation</w:t>
      </w:r>
      <w:r w:rsidR="00D92932" w:rsidRPr="00620925">
        <w:rPr>
          <w:rFonts w:asciiTheme="minorHAnsi" w:hAnsiTheme="minorHAnsi" w:cstheme="minorHAnsi"/>
          <w:b/>
        </w:rPr>
        <w:t xml:space="preserve"> sur Banyuls</w:t>
      </w:r>
    </w:p>
    <w:p w14:paraId="694613AF" w14:textId="66D96D7E" w:rsidR="00D22EE7" w:rsidRPr="00620925" w:rsidRDefault="00D22EE7" w:rsidP="00D22EE7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  <w:color w:val="00B050"/>
        </w:rPr>
      </w:pPr>
      <w:r w:rsidRPr="00620925">
        <w:rPr>
          <w:rFonts w:asciiTheme="minorHAnsi" w:hAnsiTheme="minorHAnsi" w:cstheme="minorHAnsi"/>
        </w:rPr>
        <w:t xml:space="preserve">Participe au suivi technique de l’automate de PDA (préparation de dose à administrer) </w:t>
      </w:r>
      <w:r w:rsidRPr="00620925">
        <w:rPr>
          <w:rFonts w:asciiTheme="minorHAnsi" w:hAnsiTheme="minorHAnsi" w:cstheme="minorHAnsi"/>
          <w:color w:val="auto"/>
        </w:rPr>
        <w:t xml:space="preserve">– Dispensation nominative automatisée. </w:t>
      </w:r>
      <w:r w:rsidR="00D92932" w:rsidRPr="00620925">
        <w:rPr>
          <w:rFonts w:asciiTheme="minorHAnsi" w:hAnsiTheme="minorHAnsi" w:cstheme="minorHAnsi"/>
          <w:color w:val="auto"/>
        </w:rPr>
        <w:t>En relation avec le pharmacien référent du site de Thuir</w:t>
      </w:r>
    </w:p>
    <w:p w14:paraId="406E0C65" w14:textId="77777777" w:rsidR="00D22EE7" w:rsidRPr="00620925" w:rsidRDefault="00D22EE7" w:rsidP="00D22EE7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620925">
        <w:rPr>
          <w:rFonts w:asciiTheme="minorHAnsi" w:hAnsiTheme="minorHAnsi" w:cstheme="minorHAnsi"/>
        </w:rPr>
        <w:t>Relation avec le prestataire fournissant les automates</w:t>
      </w:r>
    </w:p>
    <w:p w14:paraId="58DE6724" w14:textId="77777777" w:rsidR="00D22EE7" w:rsidRPr="0059313B" w:rsidRDefault="00D22EE7" w:rsidP="00D22EE7">
      <w:pPr>
        <w:pStyle w:val="Paragraphedeliste"/>
        <w:ind w:left="1440"/>
        <w:jc w:val="both"/>
        <w:rPr>
          <w:rFonts w:asciiTheme="minorHAnsi" w:hAnsiTheme="minorHAnsi" w:cstheme="minorHAnsi"/>
          <w:sz w:val="6"/>
          <w:szCs w:val="6"/>
        </w:rPr>
      </w:pPr>
    </w:p>
    <w:p w14:paraId="6727B1DC" w14:textId="77777777" w:rsidR="00D22EE7" w:rsidRPr="00D22EE7" w:rsidRDefault="00D22EE7" w:rsidP="00D22EE7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D22EE7">
        <w:rPr>
          <w:rFonts w:asciiTheme="minorHAnsi" w:hAnsiTheme="minorHAnsi" w:cstheme="minorHAnsi"/>
          <w:b/>
        </w:rPr>
        <w:t>Gestion qualité</w:t>
      </w:r>
    </w:p>
    <w:p w14:paraId="78DF2055" w14:textId="77777777" w:rsidR="00D22EE7" w:rsidRPr="00335547" w:rsidRDefault="00D22EE7" w:rsidP="00D22EE7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335547">
        <w:rPr>
          <w:rFonts w:asciiTheme="minorHAnsi" w:hAnsiTheme="minorHAnsi" w:cstheme="minorHAnsi"/>
        </w:rPr>
        <w:t>Organise</w:t>
      </w:r>
      <w:r>
        <w:rPr>
          <w:rFonts w:asciiTheme="minorHAnsi" w:hAnsiTheme="minorHAnsi" w:cstheme="minorHAnsi"/>
        </w:rPr>
        <w:t xml:space="preserve"> l’intégration du site de B</w:t>
      </w:r>
      <w:r w:rsidRPr="00335547">
        <w:rPr>
          <w:rFonts w:asciiTheme="minorHAnsi" w:hAnsiTheme="minorHAnsi" w:cstheme="minorHAnsi"/>
        </w:rPr>
        <w:t>anyuls dans la politique de gestion de la qualité de la PUI du GCS Pharmacoopé en relation avec le pharmacien responsable de la Gestion de la Qualité</w:t>
      </w:r>
      <w:r>
        <w:rPr>
          <w:rFonts w:asciiTheme="minorHAnsi" w:hAnsiTheme="minorHAnsi" w:cstheme="minorHAnsi"/>
        </w:rPr>
        <w:t xml:space="preserve"> et le S</w:t>
      </w:r>
      <w:r w:rsidRPr="00335547">
        <w:rPr>
          <w:rFonts w:asciiTheme="minorHAnsi" w:hAnsiTheme="minorHAnsi" w:cstheme="minorHAnsi"/>
        </w:rPr>
        <w:t xml:space="preserve">ervice </w:t>
      </w:r>
      <w:r>
        <w:rPr>
          <w:rFonts w:asciiTheme="minorHAnsi" w:hAnsiTheme="minorHAnsi" w:cstheme="minorHAnsi"/>
        </w:rPr>
        <w:t>Qualité</w:t>
      </w:r>
      <w:r w:rsidRPr="003355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site de</w:t>
      </w:r>
      <w:r w:rsidRPr="00335547">
        <w:rPr>
          <w:rFonts w:asciiTheme="minorHAnsi" w:hAnsiTheme="minorHAnsi" w:cstheme="minorHAnsi"/>
        </w:rPr>
        <w:t xml:space="preserve"> Thuir</w:t>
      </w:r>
    </w:p>
    <w:p w14:paraId="22E84DCC" w14:textId="77777777" w:rsidR="00D22EE7" w:rsidRPr="00D22EE7" w:rsidRDefault="00D22EE7" w:rsidP="00D22EE7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335547">
        <w:rPr>
          <w:rFonts w:asciiTheme="minorHAnsi" w:hAnsiTheme="minorHAnsi" w:cstheme="minorHAnsi"/>
        </w:rPr>
        <w:t xml:space="preserve">Intègre la documentation existante spécifique du site de Banyuls </w:t>
      </w:r>
      <w:r>
        <w:rPr>
          <w:rFonts w:asciiTheme="minorHAnsi" w:hAnsiTheme="minorHAnsi" w:cstheme="minorHAnsi"/>
        </w:rPr>
        <w:t>dans le système documentaire d’Assurance Q</w:t>
      </w:r>
      <w:r w:rsidRPr="00335547">
        <w:rPr>
          <w:rFonts w:asciiTheme="minorHAnsi" w:hAnsiTheme="minorHAnsi" w:cstheme="minorHAnsi"/>
        </w:rPr>
        <w:t>ualité du GCS Pharmacoopé</w:t>
      </w:r>
    </w:p>
    <w:p w14:paraId="44FD5AC2" w14:textId="77777777" w:rsidR="0001597F" w:rsidRPr="0059313B" w:rsidRDefault="0001597F" w:rsidP="0001597F">
      <w:pPr>
        <w:pStyle w:val="Paragraphedeliste"/>
        <w:ind w:left="1440"/>
        <w:jc w:val="both"/>
        <w:rPr>
          <w:rFonts w:asciiTheme="minorHAnsi" w:hAnsiTheme="minorHAnsi" w:cstheme="minorHAnsi"/>
          <w:sz w:val="6"/>
          <w:szCs w:val="6"/>
        </w:rPr>
      </w:pPr>
    </w:p>
    <w:p w14:paraId="468FA18A" w14:textId="77777777" w:rsidR="0001597F" w:rsidRPr="0059313B" w:rsidRDefault="0001597F" w:rsidP="0001597F">
      <w:pPr>
        <w:pStyle w:val="Paragraphedeliste"/>
        <w:ind w:left="1440"/>
        <w:jc w:val="both"/>
        <w:rPr>
          <w:rFonts w:asciiTheme="minorHAnsi" w:hAnsiTheme="minorHAnsi" w:cstheme="minorHAnsi"/>
          <w:sz w:val="6"/>
          <w:szCs w:val="6"/>
        </w:rPr>
      </w:pPr>
    </w:p>
    <w:p w14:paraId="0F34F58A" w14:textId="77777777" w:rsidR="00D22EE7" w:rsidRDefault="00D22EE7" w:rsidP="0001597F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D22EE7">
        <w:rPr>
          <w:rFonts w:asciiTheme="minorHAnsi" w:hAnsiTheme="minorHAnsi" w:cstheme="minorHAnsi"/>
          <w:b/>
          <w:color w:val="auto"/>
        </w:rPr>
        <w:t xml:space="preserve">Approvisionnement : </w:t>
      </w:r>
      <w:r>
        <w:rPr>
          <w:rFonts w:asciiTheme="minorHAnsi" w:hAnsiTheme="minorHAnsi" w:cstheme="minorHAnsi"/>
          <w:color w:val="auto"/>
        </w:rPr>
        <w:t>commandes fournisseurs médicaments et dispositifs médicaux en appui des pharmaciens missionnés sur les 2 sites</w:t>
      </w:r>
    </w:p>
    <w:p w14:paraId="7DBC70C4" w14:textId="77777777" w:rsidR="00D22EE7" w:rsidRPr="00D22EE7" w:rsidRDefault="00D22EE7" w:rsidP="00D22EE7">
      <w:pPr>
        <w:pStyle w:val="Paragraphedeliste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413F13E7" w14:textId="77777777" w:rsidR="0001597F" w:rsidRDefault="0001597F" w:rsidP="0001597F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D22EE7">
        <w:rPr>
          <w:rFonts w:asciiTheme="minorHAnsi" w:hAnsiTheme="minorHAnsi" w:cstheme="minorHAnsi"/>
          <w:b/>
          <w:color w:val="auto"/>
        </w:rPr>
        <w:t>Pharmacie clinique</w:t>
      </w:r>
      <w:r w:rsidRPr="00C26067">
        <w:rPr>
          <w:rFonts w:asciiTheme="minorHAnsi" w:hAnsiTheme="minorHAnsi" w:cstheme="minorHAnsi"/>
          <w:color w:val="auto"/>
        </w:rPr>
        <w:t> : réunions cliniques, participation aux Commissions Gériatriques</w:t>
      </w:r>
      <w:r w:rsidR="00D22EE7">
        <w:rPr>
          <w:rFonts w:asciiTheme="minorHAnsi" w:hAnsiTheme="minorHAnsi" w:cstheme="minorHAnsi"/>
          <w:color w:val="auto"/>
        </w:rPr>
        <w:t xml:space="preserve"> (site Banyuls)</w:t>
      </w:r>
      <w:r w:rsidRPr="00C26067">
        <w:rPr>
          <w:rFonts w:asciiTheme="minorHAnsi" w:hAnsiTheme="minorHAnsi" w:cstheme="minorHAnsi"/>
          <w:color w:val="auto"/>
        </w:rPr>
        <w:t>, veille documentaire et bon usage, actions de sensibilisation à développer (exemples : médicaments et populations à risques, prise en charge de la douleur chez le sujet âgé…) au bénéfice des patients et</w:t>
      </w:r>
      <w:r>
        <w:rPr>
          <w:rFonts w:asciiTheme="minorHAnsi" w:hAnsiTheme="minorHAnsi" w:cstheme="minorHAnsi"/>
          <w:color w:val="auto"/>
        </w:rPr>
        <w:t xml:space="preserve"> résidents.</w:t>
      </w:r>
      <w:r w:rsidR="00D22EE7">
        <w:rPr>
          <w:rFonts w:asciiTheme="minorHAnsi" w:hAnsiTheme="minorHAnsi" w:cstheme="minorHAnsi"/>
          <w:color w:val="auto"/>
        </w:rPr>
        <w:t xml:space="preserve"> </w:t>
      </w:r>
    </w:p>
    <w:p w14:paraId="2BEB52C5" w14:textId="77777777" w:rsidR="00282449" w:rsidRPr="00282449" w:rsidRDefault="00282449" w:rsidP="00282449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sz w:val="6"/>
          <w:szCs w:val="6"/>
        </w:rPr>
      </w:pPr>
    </w:p>
    <w:p w14:paraId="7DD31ED6" w14:textId="3879C6CB" w:rsidR="0001597F" w:rsidRDefault="0001597F" w:rsidP="0088301B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D22EE7">
        <w:rPr>
          <w:rFonts w:asciiTheme="minorHAnsi" w:hAnsiTheme="minorHAnsi" w:cstheme="minorHAnsi"/>
          <w:b/>
          <w:color w:val="auto"/>
        </w:rPr>
        <w:t>Education thérapeutique</w:t>
      </w:r>
      <w:r w:rsidR="00282449">
        <w:rPr>
          <w:rFonts w:asciiTheme="minorHAnsi" w:hAnsiTheme="minorHAnsi" w:cstheme="minorHAnsi"/>
          <w:color w:val="auto"/>
        </w:rPr>
        <w:t> : en lien avec le pharmacien PH missionné</w:t>
      </w:r>
      <w:r w:rsidR="00D22EE7">
        <w:rPr>
          <w:rFonts w:asciiTheme="minorHAnsi" w:hAnsiTheme="minorHAnsi" w:cstheme="minorHAnsi"/>
          <w:color w:val="auto"/>
        </w:rPr>
        <w:t xml:space="preserve"> (site Thuir) sur un programme agréé ARS (schizophrénie) et des actions de sensibilisation (patients/aidants)</w:t>
      </w:r>
      <w:r w:rsidR="0088301B">
        <w:rPr>
          <w:rFonts w:asciiTheme="minorHAnsi" w:hAnsiTheme="minorHAnsi" w:cstheme="minorHAnsi"/>
          <w:color w:val="auto"/>
        </w:rPr>
        <w:t xml:space="preserve"> (</w:t>
      </w:r>
      <w:hyperlink r:id="rId9" w:history="1">
        <w:r w:rsidR="0088301B" w:rsidRPr="00C127A5">
          <w:rPr>
            <w:rStyle w:val="Lienhypertexte"/>
            <w:rFonts w:asciiTheme="minorHAnsi" w:hAnsiTheme="minorHAnsi" w:cstheme="minorHAnsi"/>
          </w:rPr>
          <w:t>https://www.ch-thuir.fr/patient/education-therapeutique</w:t>
        </w:r>
      </w:hyperlink>
      <w:r w:rsidR="0088301B">
        <w:rPr>
          <w:rFonts w:asciiTheme="minorHAnsi" w:hAnsiTheme="minorHAnsi" w:cstheme="minorHAnsi"/>
          <w:color w:val="auto"/>
        </w:rPr>
        <w:t>)</w:t>
      </w:r>
    </w:p>
    <w:p w14:paraId="5DFA70B5" w14:textId="77777777" w:rsidR="0088301B" w:rsidRPr="0088301B" w:rsidRDefault="0088301B" w:rsidP="0088301B">
      <w:pPr>
        <w:pStyle w:val="Paragraphedeliste"/>
        <w:jc w:val="both"/>
        <w:rPr>
          <w:rFonts w:asciiTheme="minorHAnsi" w:hAnsiTheme="minorHAnsi" w:cstheme="minorHAnsi"/>
          <w:color w:val="auto"/>
          <w:sz w:val="6"/>
          <w:szCs w:val="6"/>
        </w:rPr>
      </w:pPr>
    </w:p>
    <w:p w14:paraId="2752FEB1" w14:textId="77777777" w:rsidR="00282449" w:rsidRDefault="00282449" w:rsidP="00282449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Préparation en amont des séances (outils, supports…)</w:t>
      </w:r>
    </w:p>
    <w:p w14:paraId="36018506" w14:textId="77777777" w:rsidR="00282449" w:rsidRDefault="00282449" w:rsidP="00282449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Animation de séances et de</w:t>
      </w:r>
      <w:r w:rsidR="00D22EE7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 xml:space="preserve"> entretiens</w:t>
      </w:r>
    </w:p>
    <w:p w14:paraId="7358FDE9" w14:textId="77777777" w:rsidR="00282449" w:rsidRDefault="00282449" w:rsidP="00282449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Formalisation des bilans, recueil des indicateurs</w:t>
      </w:r>
    </w:p>
    <w:p w14:paraId="3811BF78" w14:textId="77777777" w:rsidR="00D22EE7" w:rsidRPr="00D22EE7" w:rsidRDefault="00D22EE7" w:rsidP="00D22EE7">
      <w:pPr>
        <w:pStyle w:val="Paragraphedeliste"/>
        <w:ind w:left="1440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11141994" w14:textId="77777777" w:rsidR="0001597F" w:rsidRPr="00D22EE7" w:rsidRDefault="0001597F" w:rsidP="0001597F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D22EE7">
        <w:rPr>
          <w:rFonts w:asciiTheme="minorHAnsi" w:hAnsiTheme="minorHAnsi" w:cstheme="minorHAnsi"/>
          <w:b/>
        </w:rPr>
        <w:t>Formation</w:t>
      </w:r>
    </w:p>
    <w:p w14:paraId="4B260DB2" w14:textId="77777777" w:rsidR="0001597F" w:rsidRPr="00335547" w:rsidRDefault="0001597F" w:rsidP="0001597F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335547">
        <w:rPr>
          <w:rFonts w:asciiTheme="minorHAnsi" w:hAnsiTheme="minorHAnsi" w:cstheme="minorHAnsi"/>
        </w:rPr>
        <w:t>En interne pour l’équipe préparateur (technique, pharma</w:t>
      </w:r>
      <w:r>
        <w:rPr>
          <w:rFonts w:asciiTheme="minorHAnsi" w:hAnsiTheme="minorHAnsi" w:cstheme="minorHAnsi"/>
        </w:rPr>
        <w:t>ceutique</w:t>
      </w:r>
      <w:r w:rsidRPr="00335547">
        <w:rPr>
          <w:rFonts w:asciiTheme="minorHAnsi" w:hAnsiTheme="minorHAnsi" w:cstheme="minorHAnsi"/>
        </w:rPr>
        <w:t xml:space="preserve">) </w:t>
      </w:r>
    </w:p>
    <w:p w14:paraId="0DE831B8" w14:textId="77777777" w:rsidR="00297C2E" w:rsidRPr="00D22EE7" w:rsidRDefault="0001597F" w:rsidP="00CC50B2">
      <w:pPr>
        <w:pStyle w:val="Paragraphedeliste"/>
        <w:numPr>
          <w:ilvl w:val="1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335547">
        <w:rPr>
          <w:rFonts w:asciiTheme="minorHAnsi" w:hAnsiTheme="minorHAnsi" w:cstheme="minorHAnsi"/>
        </w:rPr>
        <w:t xml:space="preserve">Pour les équipes soignantes des établissements desservis par le site de </w:t>
      </w:r>
      <w:r>
        <w:rPr>
          <w:rFonts w:asciiTheme="minorHAnsi" w:hAnsiTheme="minorHAnsi" w:cstheme="minorHAnsi"/>
        </w:rPr>
        <w:t xml:space="preserve">Thuir </w:t>
      </w:r>
      <w:r w:rsidR="00D22EE7">
        <w:rPr>
          <w:rFonts w:asciiTheme="minorHAnsi" w:hAnsiTheme="minorHAnsi" w:cstheme="minorHAnsi"/>
        </w:rPr>
        <w:t xml:space="preserve">et le site de Banyuls </w:t>
      </w:r>
      <w:r w:rsidRPr="00335547">
        <w:rPr>
          <w:rFonts w:asciiTheme="minorHAnsi" w:hAnsiTheme="minorHAnsi" w:cstheme="minorHAnsi"/>
        </w:rPr>
        <w:t>(</w:t>
      </w:r>
      <w:r w:rsidRPr="00823642">
        <w:rPr>
          <w:rFonts w:asciiTheme="minorHAnsi" w:hAnsiTheme="minorHAnsi" w:cstheme="minorHAnsi"/>
          <w:u w:val="single"/>
        </w:rPr>
        <w:t>en priorité pour les établissements en référence</w:t>
      </w:r>
      <w:r w:rsidRPr="00335547">
        <w:rPr>
          <w:rFonts w:asciiTheme="minorHAnsi" w:hAnsiTheme="minorHAnsi" w:cstheme="minorHAnsi"/>
        </w:rPr>
        <w:t>)</w:t>
      </w:r>
    </w:p>
    <w:p w14:paraId="1FC82155" w14:textId="77777777" w:rsidR="00297C2E" w:rsidRPr="00D868CC" w:rsidRDefault="00297C2E" w:rsidP="00297C2E">
      <w:pPr>
        <w:jc w:val="both"/>
        <w:rPr>
          <w:rFonts w:asciiTheme="minorHAnsi" w:hAnsiTheme="minorHAnsi" w:cstheme="minorHAnsi"/>
          <w:b/>
          <w:bCs/>
        </w:rPr>
      </w:pPr>
      <w:r w:rsidRPr="00D868CC">
        <w:rPr>
          <w:rFonts w:asciiTheme="minorHAnsi" w:hAnsiTheme="minorHAnsi" w:cstheme="minorHAnsi"/>
          <w:b/>
          <w:bCs/>
        </w:rPr>
        <w:t xml:space="preserve">4° AUTRES : </w:t>
      </w:r>
    </w:p>
    <w:p w14:paraId="5BB38A47" w14:textId="77777777" w:rsidR="00297C2E" w:rsidRPr="00D868CC" w:rsidRDefault="00297C2E" w:rsidP="00297C2E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11CC9BD0" w14:textId="77777777" w:rsidR="00297C2E" w:rsidRPr="00D868CC" w:rsidRDefault="00297C2E" w:rsidP="00297C2E">
      <w:pPr>
        <w:jc w:val="both"/>
        <w:rPr>
          <w:rFonts w:asciiTheme="minorHAnsi" w:hAnsiTheme="minorHAnsi" w:cstheme="minorHAnsi"/>
          <w:b/>
          <w:bCs/>
        </w:rPr>
      </w:pPr>
      <w:r w:rsidRPr="00D868CC">
        <w:rPr>
          <w:rFonts w:asciiTheme="minorHAnsi" w:hAnsiTheme="minorHAnsi" w:cstheme="minorHAnsi"/>
          <w:b/>
          <w:bCs/>
        </w:rPr>
        <w:t>Compétences et savoirs :</w:t>
      </w:r>
    </w:p>
    <w:p w14:paraId="7182421E" w14:textId="77777777" w:rsidR="00297C2E" w:rsidRPr="00D868CC" w:rsidRDefault="00297C2E" w:rsidP="00297C2E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2D2F64A6" w14:textId="77777777" w:rsidR="00297C2E" w:rsidRPr="00D868CC" w:rsidRDefault="00297C2E" w:rsidP="00297C2E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D868CC">
        <w:rPr>
          <w:rFonts w:asciiTheme="minorHAnsi" w:hAnsiTheme="minorHAnsi" w:cstheme="minorHAnsi"/>
        </w:rPr>
        <w:t>Assurance qualité</w:t>
      </w:r>
      <w:r>
        <w:rPr>
          <w:rFonts w:asciiTheme="minorHAnsi" w:hAnsiTheme="minorHAnsi" w:cstheme="minorHAnsi"/>
        </w:rPr>
        <w:t xml:space="preserve"> ; Biologie ; </w:t>
      </w:r>
      <w:r w:rsidRPr="00D868CC">
        <w:rPr>
          <w:rFonts w:asciiTheme="minorHAnsi" w:hAnsiTheme="minorHAnsi" w:cstheme="minorHAnsi"/>
        </w:rPr>
        <w:t>Gestion</w:t>
      </w:r>
      <w:r>
        <w:rPr>
          <w:rFonts w:asciiTheme="minorHAnsi" w:hAnsiTheme="minorHAnsi" w:cstheme="minorHAnsi"/>
        </w:rPr>
        <w:t xml:space="preserve"> ; </w:t>
      </w:r>
      <w:r w:rsidRPr="00D868CC">
        <w:rPr>
          <w:rFonts w:asciiTheme="minorHAnsi" w:hAnsiTheme="minorHAnsi" w:cstheme="minorHAnsi"/>
        </w:rPr>
        <w:t>Informatique</w:t>
      </w:r>
      <w:r>
        <w:rPr>
          <w:rFonts w:asciiTheme="minorHAnsi" w:hAnsiTheme="minorHAnsi" w:cstheme="minorHAnsi"/>
        </w:rPr>
        <w:t xml:space="preserve"> ; </w:t>
      </w:r>
      <w:r w:rsidRPr="00D868CC">
        <w:rPr>
          <w:rFonts w:asciiTheme="minorHAnsi" w:hAnsiTheme="minorHAnsi" w:cstheme="minorHAnsi"/>
        </w:rPr>
        <w:t>Logistique</w:t>
      </w:r>
      <w:r>
        <w:rPr>
          <w:rFonts w:asciiTheme="minorHAnsi" w:hAnsiTheme="minorHAnsi" w:cstheme="minorHAnsi"/>
        </w:rPr>
        <w:t xml:space="preserve"> ; </w:t>
      </w:r>
      <w:r w:rsidRPr="00D868CC">
        <w:rPr>
          <w:rFonts w:asciiTheme="minorHAnsi" w:hAnsiTheme="minorHAnsi" w:cstheme="minorHAnsi"/>
        </w:rPr>
        <w:t>Management</w:t>
      </w:r>
      <w:r>
        <w:rPr>
          <w:rFonts w:asciiTheme="minorHAnsi" w:hAnsiTheme="minorHAnsi" w:cstheme="minorHAnsi"/>
        </w:rPr>
        <w:t xml:space="preserve"> ; Pharmacie clinique ; </w:t>
      </w:r>
      <w:r w:rsidRPr="00D868CC">
        <w:rPr>
          <w:rFonts w:asciiTheme="minorHAnsi" w:hAnsiTheme="minorHAnsi" w:cstheme="minorHAnsi"/>
        </w:rPr>
        <w:t>Pharmacologie</w:t>
      </w:r>
      <w:r>
        <w:rPr>
          <w:rFonts w:asciiTheme="minorHAnsi" w:hAnsiTheme="minorHAnsi" w:cstheme="minorHAnsi"/>
        </w:rPr>
        <w:t xml:space="preserve"> ; </w:t>
      </w:r>
      <w:r w:rsidRPr="00D868CC">
        <w:rPr>
          <w:rFonts w:asciiTheme="minorHAnsi" w:hAnsiTheme="minorHAnsi" w:cstheme="minorHAnsi"/>
        </w:rPr>
        <w:t>Vigilances et gestion des risques</w:t>
      </w:r>
      <w:r>
        <w:rPr>
          <w:rFonts w:asciiTheme="minorHAnsi" w:hAnsiTheme="minorHAnsi" w:cstheme="minorHAnsi"/>
        </w:rPr>
        <w:t>.</w:t>
      </w:r>
    </w:p>
    <w:p w14:paraId="0E34EF94" w14:textId="77777777" w:rsidR="00297C2E" w:rsidRDefault="00297C2E" w:rsidP="00297C2E">
      <w:pPr>
        <w:jc w:val="both"/>
        <w:rPr>
          <w:rFonts w:asciiTheme="minorHAnsi" w:hAnsiTheme="minorHAnsi" w:cstheme="minorHAnsi"/>
          <w:b/>
        </w:rPr>
      </w:pPr>
      <w:r w:rsidRPr="00D868CC">
        <w:rPr>
          <w:rFonts w:asciiTheme="minorHAnsi" w:hAnsiTheme="minorHAnsi" w:cstheme="minorHAnsi"/>
          <w:b/>
        </w:rPr>
        <w:t>Savoir-être</w:t>
      </w:r>
      <w:r>
        <w:rPr>
          <w:rFonts w:asciiTheme="minorHAnsi" w:hAnsiTheme="minorHAnsi" w:cstheme="minorHAnsi"/>
          <w:b/>
        </w:rPr>
        <w:t> :</w:t>
      </w:r>
    </w:p>
    <w:p w14:paraId="1FD7A7E1" w14:textId="77777777" w:rsidR="00297C2E" w:rsidRPr="00D868CC" w:rsidRDefault="00297C2E" w:rsidP="00297C2E">
      <w:pPr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2F503589" w14:textId="58394889" w:rsidR="00D22EE7" w:rsidRDefault="00D22EE7" w:rsidP="00297C2E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Polyvalence</w:t>
      </w:r>
      <w:r w:rsidR="004639EF">
        <w:rPr>
          <w:rFonts w:asciiTheme="minorHAnsi" w:hAnsiTheme="minorHAnsi" w:cstheme="minorHAnsi"/>
        </w:rPr>
        <w:t xml:space="preserve"> et adaptabilité</w:t>
      </w:r>
    </w:p>
    <w:p w14:paraId="33229798" w14:textId="77777777" w:rsidR="00297C2E" w:rsidRDefault="00297C2E" w:rsidP="00297C2E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868CC">
        <w:rPr>
          <w:rFonts w:asciiTheme="minorHAnsi" w:hAnsiTheme="minorHAnsi" w:cstheme="minorHAnsi"/>
        </w:rPr>
        <w:t>Sens du relationnel</w:t>
      </w:r>
      <w:r>
        <w:rPr>
          <w:rFonts w:asciiTheme="minorHAnsi" w:hAnsiTheme="minorHAnsi" w:cstheme="minorHAnsi"/>
        </w:rPr>
        <w:t xml:space="preserve"> et du travail en équipe</w:t>
      </w:r>
      <w:r w:rsidR="00D22EE7">
        <w:rPr>
          <w:rFonts w:asciiTheme="minorHAnsi" w:hAnsiTheme="minorHAnsi" w:cstheme="minorHAnsi"/>
        </w:rPr>
        <w:t xml:space="preserve"> - Communication</w:t>
      </w:r>
    </w:p>
    <w:p w14:paraId="511E7F5B" w14:textId="77777777" w:rsidR="00297C2E" w:rsidRDefault="00297C2E" w:rsidP="00297C2E">
      <w:pPr>
        <w:pStyle w:val="Paragraphedeliste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868CC">
        <w:rPr>
          <w:rFonts w:asciiTheme="minorHAnsi" w:hAnsiTheme="minorHAnsi" w:cstheme="minorHAnsi"/>
        </w:rPr>
        <w:t>Sens de l’écoute et de la décision,</w:t>
      </w:r>
    </w:p>
    <w:p w14:paraId="1A08976F" w14:textId="77777777" w:rsidR="00297C2E" w:rsidRPr="00D868CC" w:rsidRDefault="00D22EE7" w:rsidP="00297C2E">
      <w:pPr>
        <w:pStyle w:val="Paragraphedeliste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Intégrité et r</w:t>
      </w:r>
      <w:r w:rsidR="00297C2E" w:rsidRPr="00D868CC">
        <w:rPr>
          <w:rFonts w:asciiTheme="minorHAnsi" w:hAnsiTheme="minorHAnsi" w:cstheme="minorHAnsi"/>
        </w:rPr>
        <w:t>igueur</w:t>
      </w:r>
    </w:p>
    <w:p w14:paraId="56A63AD7" w14:textId="77777777" w:rsidR="00D868CC" w:rsidRPr="00D22EE7" w:rsidRDefault="00297C2E" w:rsidP="00D868CC">
      <w:pPr>
        <w:pStyle w:val="Paragraphedeliste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868CC">
        <w:rPr>
          <w:rFonts w:asciiTheme="minorHAnsi" w:hAnsiTheme="minorHAnsi" w:cstheme="minorHAnsi"/>
        </w:rPr>
        <w:t>Capacité à innover, à dégager des priorités</w:t>
      </w:r>
      <w:r w:rsidR="00D22EE7">
        <w:rPr>
          <w:rFonts w:asciiTheme="minorHAnsi" w:hAnsiTheme="minorHAnsi" w:cstheme="minorHAnsi"/>
        </w:rPr>
        <w:t>, être autonome avec des capacités organisationnelles, d’analyse et d’anticipation</w:t>
      </w:r>
    </w:p>
    <w:sectPr w:rsidR="00D868CC" w:rsidRPr="00D22EE7" w:rsidSect="007763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43AC3" w14:textId="77777777" w:rsidR="00463F6B" w:rsidRDefault="00463F6B" w:rsidP="00D868CC">
      <w:r>
        <w:separator/>
      </w:r>
    </w:p>
  </w:endnote>
  <w:endnote w:type="continuationSeparator" w:id="0">
    <w:p w14:paraId="7C382FD4" w14:textId="77777777" w:rsidR="00463F6B" w:rsidRDefault="00463F6B" w:rsidP="00D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6600" w14:textId="77777777" w:rsidR="00463F6B" w:rsidRDefault="00463F6B" w:rsidP="00D868CC">
      <w:r>
        <w:separator/>
      </w:r>
    </w:p>
  </w:footnote>
  <w:footnote w:type="continuationSeparator" w:id="0">
    <w:p w14:paraId="1693C937" w14:textId="77777777" w:rsidR="00463F6B" w:rsidRDefault="00463F6B" w:rsidP="00D8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A2D"/>
    <w:multiLevelType w:val="hybridMultilevel"/>
    <w:tmpl w:val="A6467DD0"/>
    <w:lvl w:ilvl="0" w:tplc="069E3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259"/>
    <w:multiLevelType w:val="multilevel"/>
    <w:tmpl w:val="D01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7E49"/>
    <w:multiLevelType w:val="hybridMultilevel"/>
    <w:tmpl w:val="E09A2214"/>
    <w:lvl w:ilvl="0" w:tplc="8BE07F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42DF1"/>
    <w:multiLevelType w:val="hybridMultilevel"/>
    <w:tmpl w:val="74903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5495"/>
    <w:multiLevelType w:val="multilevel"/>
    <w:tmpl w:val="59F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B7E76"/>
    <w:multiLevelType w:val="hybridMultilevel"/>
    <w:tmpl w:val="B5F40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22D3"/>
    <w:multiLevelType w:val="hybridMultilevel"/>
    <w:tmpl w:val="C936A44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5920B30"/>
    <w:multiLevelType w:val="hybridMultilevel"/>
    <w:tmpl w:val="A006A344"/>
    <w:lvl w:ilvl="0" w:tplc="E0ACA2A6">
      <w:numFmt w:val="bullet"/>
      <w:lvlText w:val=""/>
      <w:lvlJc w:val="left"/>
      <w:pPr>
        <w:ind w:left="1428" w:hanging="360"/>
      </w:pPr>
      <w:rPr>
        <w:rFonts w:ascii="Wingdings" w:hAnsi="Wingdings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943E38"/>
    <w:multiLevelType w:val="multilevel"/>
    <w:tmpl w:val="3B16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A5F6F"/>
    <w:multiLevelType w:val="multilevel"/>
    <w:tmpl w:val="188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0241E"/>
    <w:multiLevelType w:val="hybridMultilevel"/>
    <w:tmpl w:val="B2EC7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547"/>
    <w:multiLevelType w:val="hybridMultilevel"/>
    <w:tmpl w:val="4FC22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CA2A6">
      <w:numFmt w:val="bullet"/>
      <w:lvlText w:val=""/>
      <w:lvlJc w:val="left"/>
      <w:pPr>
        <w:ind w:left="1440" w:hanging="360"/>
      </w:pPr>
      <w:rPr>
        <w:rFonts w:ascii="Wingdings" w:hAnsi="Wingdings" w:cstheme="minorHAnsi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D4A39"/>
    <w:multiLevelType w:val="hybridMultilevel"/>
    <w:tmpl w:val="368E5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638C8"/>
    <w:multiLevelType w:val="hybridMultilevel"/>
    <w:tmpl w:val="154C5A4E"/>
    <w:lvl w:ilvl="0" w:tplc="FBA44B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89832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AD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840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89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C6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0F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2D1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0A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2137"/>
    <w:multiLevelType w:val="hybridMultilevel"/>
    <w:tmpl w:val="C70EE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03310"/>
    <w:multiLevelType w:val="hybridMultilevel"/>
    <w:tmpl w:val="6AA4B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E6F83"/>
    <w:multiLevelType w:val="hybridMultilevel"/>
    <w:tmpl w:val="8E9C8486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7193C4F"/>
    <w:multiLevelType w:val="hybridMultilevel"/>
    <w:tmpl w:val="DFC87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7D69"/>
    <w:multiLevelType w:val="hybridMultilevel"/>
    <w:tmpl w:val="61D6A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03295"/>
    <w:multiLevelType w:val="hybridMultilevel"/>
    <w:tmpl w:val="570E4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7215"/>
    <w:multiLevelType w:val="hybridMultilevel"/>
    <w:tmpl w:val="D87CA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3AD5"/>
    <w:multiLevelType w:val="hybridMultilevel"/>
    <w:tmpl w:val="E46EE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A2B14"/>
    <w:multiLevelType w:val="hybridMultilevel"/>
    <w:tmpl w:val="B532B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E433C"/>
    <w:multiLevelType w:val="hybridMultilevel"/>
    <w:tmpl w:val="8690D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321A"/>
    <w:multiLevelType w:val="hybridMultilevel"/>
    <w:tmpl w:val="B5749A7A"/>
    <w:lvl w:ilvl="0" w:tplc="C332E4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5422C"/>
    <w:multiLevelType w:val="hybridMultilevel"/>
    <w:tmpl w:val="89F2A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8"/>
  </w:num>
  <w:num w:numId="6">
    <w:abstractNumId w:val="23"/>
  </w:num>
  <w:num w:numId="7">
    <w:abstractNumId w:val="25"/>
  </w:num>
  <w:num w:numId="8">
    <w:abstractNumId w:val="19"/>
  </w:num>
  <w:num w:numId="9">
    <w:abstractNumId w:val="22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12"/>
  </w:num>
  <w:num w:numId="15">
    <w:abstractNumId w:val="5"/>
  </w:num>
  <w:num w:numId="16">
    <w:abstractNumId w:val="21"/>
  </w:num>
  <w:num w:numId="17">
    <w:abstractNumId w:val="6"/>
  </w:num>
  <w:num w:numId="18">
    <w:abstractNumId w:val="2"/>
  </w:num>
  <w:num w:numId="19">
    <w:abstractNumId w:val="7"/>
  </w:num>
  <w:num w:numId="20">
    <w:abstractNumId w:val="20"/>
  </w:num>
  <w:num w:numId="21">
    <w:abstractNumId w:val="13"/>
  </w:num>
  <w:num w:numId="22">
    <w:abstractNumId w:val="16"/>
  </w:num>
  <w:num w:numId="23">
    <w:abstractNumId w:val="11"/>
  </w:num>
  <w:num w:numId="24">
    <w:abstractNumId w:val="14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C"/>
    <w:rsid w:val="00003683"/>
    <w:rsid w:val="0001597F"/>
    <w:rsid w:val="00085BCE"/>
    <w:rsid w:val="000C0881"/>
    <w:rsid w:val="00282449"/>
    <w:rsid w:val="00297C2E"/>
    <w:rsid w:val="00383222"/>
    <w:rsid w:val="00397C43"/>
    <w:rsid w:val="003E24DC"/>
    <w:rsid w:val="0042503E"/>
    <w:rsid w:val="00425705"/>
    <w:rsid w:val="004639EF"/>
    <w:rsid w:val="00463F6B"/>
    <w:rsid w:val="00546FD5"/>
    <w:rsid w:val="0060073C"/>
    <w:rsid w:val="00620925"/>
    <w:rsid w:val="006B1CE0"/>
    <w:rsid w:val="00723816"/>
    <w:rsid w:val="0077632A"/>
    <w:rsid w:val="00823642"/>
    <w:rsid w:val="0088301B"/>
    <w:rsid w:val="008D4898"/>
    <w:rsid w:val="008E014F"/>
    <w:rsid w:val="009263B0"/>
    <w:rsid w:val="00927D33"/>
    <w:rsid w:val="009B040D"/>
    <w:rsid w:val="00BB7476"/>
    <w:rsid w:val="00BF3E41"/>
    <w:rsid w:val="00C21CEA"/>
    <w:rsid w:val="00CB618E"/>
    <w:rsid w:val="00CC50B2"/>
    <w:rsid w:val="00D16459"/>
    <w:rsid w:val="00D22EE7"/>
    <w:rsid w:val="00D868CC"/>
    <w:rsid w:val="00D92932"/>
    <w:rsid w:val="00DB256C"/>
    <w:rsid w:val="00E23C8A"/>
    <w:rsid w:val="00F7161E"/>
    <w:rsid w:val="00F90831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B406"/>
  <w15:chartTrackingRefBased/>
  <w15:docId w15:val="{0A8273D7-D1A7-4A1E-AF9F-0A40EAED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0073C"/>
    <w:pPr>
      <w:keepNext/>
      <w:outlineLvl w:val="0"/>
    </w:pPr>
    <w:rPr>
      <w:rFonts w:ascii="Trebuchet MS" w:hAnsi="Trebuchet MS"/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7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073C"/>
    <w:rPr>
      <w:rFonts w:ascii="Trebuchet MS" w:eastAsia="Times New Roman" w:hAnsi="Trebuchet MS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60073C"/>
    <w:pPr>
      <w:spacing w:after="200" w:line="276" w:lineRule="auto"/>
      <w:ind w:left="720"/>
      <w:contextualSpacing/>
    </w:pPr>
    <w:rPr>
      <w:rFonts w:ascii="Arial" w:eastAsia="Calibri" w:hAnsi="Arial" w:cs="Arial"/>
      <w:color w:val="00000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927D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lev">
    <w:name w:val="Strong"/>
    <w:basedOn w:val="Policepardfaut"/>
    <w:uiPriority w:val="22"/>
    <w:qFormat/>
    <w:rsid w:val="00927D33"/>
    <w:rPr>
      <w:b/>
      <w:bCs/>
    </w:rPr>
  </w:style>
  <w:style w:type="paragraph" w:styleId="En-tte">
    <w:name w:val="header"/>
    <w:basedOn w:val="Normal"/>
    <w:link w:val="En-tteCar"/>
    <w:rsid w:val="00927D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7D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27D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7D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927D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8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8CC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83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3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6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0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0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-thuir.fr/patient/education-therapeu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CHTHUIR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sonia.bedjidian</dc:creator>
  <cp:keywords/>
  <dc:description/>
  <cp:lastModifiedBy>Sylvie Colomes</cp:lastModifiedBy>
  <cp:revision>2</cp:revision>
  <cp:lastPrinted>2022-04-05T12:48:00Z</cp:lastPrinted>
  <dcterms:created xsi:type="dcterms:W3CDTF">2022-06-16T20:52:00Z</dcterms:created>
  <dcterms:modified xsi:type="dcterms:W3CDTF">2022-06-16T20:52:00Z</dcterms:modified>
</cp:coreProperties>
</file>